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06D5" w14:textId="412835B5" w:rsidR="00673A70" w:rsidRDefault="00DE6417" w:rsidP="00673A70">
      <w:pPr>
        <w:rPr>
          <w:rFonts w:eastAsia="Times New Roman" w:cs="Calibri"/>
          <w:color w:val="2D2D2D"/>
          <w:sz w:val="22"/>
          <w:szCs w:val="22"/>
          <w:lang w:eastAsia="en-GB"/>
        </w:rPr>
      </w:pPr>
      <w:r>
        <w:rPr>
          <w:rFonts w:eastAsia="Times New Roman" w:cs="Calibri"/>
          <w:color w:val="2D2D2D"/>
          <w:sz w:val="22"/>
          <w:szCs w:val="22"/>
          <w:lang w:eastAsia="en-GB"/>
        </w:rPr>
        <w:t xml:space="preserve">RNS REACH </w:t>
      </w:r>
      <w:r w:rsidR="009A2F41">
        <w:rPr>
          <w:rFonts w:eastAsia="Times New Roman" w:cs="Calibri"/>
          <w:color w:val="2D2D2D"/>
          <w:sz w:val="22"/>
          <w:szCs w:val="22"/>
          <w:lang w:eastAsia="en-GB"/>
        </w:rPr>
        <w:t>|</w:t>
      </w:r>
      <w:r w:rsidR="00A43BAD">
        <w:rPr>
          <w:rFonts w:eastAsia="Times New Roman" w:cs="Calibri"/>
          <w:color w:val="2D2D2D"/>
          <w:sz w:val="22"/>
          <w:szCs w:val="22"/>
          <w:lang w:eastAsia="en-GB"/>
        </w:rPr>
        <w:t>x JANUARY 2026</w:t>
      </w:r>
    </w:p>
    <w:p w14:paraId="7D7810EB" w14:textId="77777777" w:rsidR="004E6400" w:rsidRDefault="004E6400" w:rsidP="00673A70">
      <w:pPr>
        <w:rPr>
          <w:rFonts w:eastAsia="Times New Roman" w:cs="Calibri"/>
          <w:color w:val="2D2D2D"/>
          <w:sz w:val="22"/>
          <w:szCs w:val="22"/>
          <w:lang w:eastAsia="en-GB"/>
        </w:rPr>
      </w:pPr>
    </w:p>
    <w:p w14:paraId="0BD5D2C3" w14:textId="25033EAC" w:rsidR="004E6400" w:rsidRPr="00E503AE" w:rsidRDefault="004E6400" w:rsidP="004E6400">
      <w:pPr>
        <w:jc w:val="center"/>
        <w:rPr>
          <w:rFonts w:eastAsia="Times New Roman" w:cs="Calibri"/>
          <w:color w:val="2D2D2D"/>
          <w:sz w:val="22"/>
          <w:szCs w:val="22"/>
          <w:lang w:eastAsia="en-GB"/>
        </w:rPr>
      </w:pPr>
      <w:r w:rsidRPr="00896BB4">
        <w:rPr>
          <w:rFonts w:asciiTheme="minorHAnsi" w:hAnsiTheme="minorHAnsi" w:cstheme="minorHAnsi"/>
          <w:noProof/>
        </w:rPr>
        <w:drawing>
          <wp:inline distT="0" distB="0" distL="0" distR="0" wp14:anchorId="088814AE" wp14:editId="678E1E47">
            <wp:extent cx="1625225" cy="826770"/>
            <wp:effectExtent l="0" t="0" r="0" b="0"/>
            <wp:docPr id="2" name="Picture 2" descr="A logo for a company&#10;&#10;Description automatically generated">
              <a:extLst xmlns:a="http://schemas.openxmlformats.org/drawingml/2006/main">
                <a:ext uri="{FF2B5EF4-FFF2-40B4-BE49-F238E27FC236}">
                  <a16:creationId xmlns:a16="http://schemas.microsoft.com/office/drawing/2014/main" id="{5F660C52-52DF-B54A-BF86-FE7B742EB6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a:extLst>
                        <a:ext uri="{FF2B5EF4-FFF2-40B4-BE49-F238E27FC236}">
                          <a16:creationId xmlns:a16="http://schemas.microsoft.com/office/drawing/2014/main" id="{5F660C52-52DF-B54A-BF86-FE7B742EB664}"/>
                        </a:ext>
                      </a:extLst>
                    </pic:cNvPr>
                    <pic:cNvPicPr>
                      <a:picLocks noChangeAspect="1"/>
                    </pic:cNvPicPr>
                  </pic:nvPicPr>
                  <pic:blipFill>
                    <a:blip r:embed="rId5"/>
                    <a:stretch>
                      <a:fillRect/>
                    </a:stretch>
                  </pic:blipFill>
                  <pic:spPr>
                    <a:xfrm>
                      <a:off x="0" y="0"/>
                      <a:ext cx="1653656" cy="841233"/>
                    </a:xfrm>
                    <a:prstGeom prst="rect">
                      <a:avLst/>
                    </a:prstGeom>
                  </pic:spPr>
                </pic:pic>
              </a:graphicData>
            </a:graphic>
          </wp:inline>
        </w:drawing>
      </w:r>
    </w:p>
    <w:p w14:paraId="74B5C955" w14:textId="77777777" w:rsidR="0016711D" w:rsidRPr="004760A7" w:rsidRDefault="0016711D" w:rsidP="00673A70">
      <w:pPr>
        <w:rPr>
          <w:rFonts w:eastAsia="Times New Roman" w:cs="Calibri"/>
          <w:b/>
          <w:color w:val="2D2D2D"/>
          <w:sz w:val="22"/>
          <w:szCs w:val="22"/>
          <w:lang w:eastAsia="en-GB"/>
        </w:rPr>
      </w:pPr>
    </w:p>
    <w:p w14:paraId="7CF9A54E" w14:textId="77777777" w:rsidR="00673A70" w:rsidRPr="004760A7" w:rsidRDefault="00CF319C" w:rsidP="00673A70">
      <w:pPr>
        <w:jc w:val="center"/>
        <w:rPr>
          <w:b/>
          <w:sz w:val="22"/>
          <w:szCs w:val="22"/>
        </w:rPr>
      </w:pPr>
      <w:r w:rsidRPr="004760A7">
        <w:rPr>
          <w:b/>
          <w:sz w:val="22"/>
          <w:szCs w:val="22"/>
        </w:rPr>
        <w:t>ImmuPharma</w:t>
      </w:r>
      <w:r w:rsidR="00673A70" w:rsidRPr="004760A7">
        <w:rPr>
          <w:b/>
          <w:sz w:val="22"/>
          <w:szCs w:val="22"/>
        </w:rPr>
        <w:t xml:space="preserve"> PLC</w:t>
      </w:r>
    </w:p>
    <w:p w14:paraId="1047A30A" w14:textId="77777777" w:rsidR="00F00553" w:rsidRPr="004760A7" w:rsidRDefault="00F00553" w:rsidP="00673A70">
      <w:pPr>
        <w:jc w:val="center"/>
        <w:rPr>
          <w:b/>
          <w:sz w:val="22"/>
          <w:szCs w:val="22"/>
        </w:rPr>
      </w:pPr>
      <w:r w:rsidRPr="004760A7">
        <w:rPr>
          <w:b/>
          <w:sz w:val="22"/>
          <w:szCs w:val="22"/>
        </w:rPr>
        <w:t>(“ImmuPharma” or the “Company”)</w:t>
      </w:r>
    </w:p>
    <w:p w14:paraId="27467A4B" w14:textId="77777777" w:rsidR="0016711D" w:rsidRPr="004760A7" w:rsidRDefault="0016711D" w:rsidP="00673A70">
      <w:pPr>
        <w:jc w:val="center"/>
        <w:rPr>
          <w:b/>
          <w:sz w:val="22"/>
          <w:szCs w:val="22"/>
        </w:rPr>
      </w:pPr>
    </w:p>
    <w:p w14:paraId="55CE69E9" w14:textId="16BC56DD" w:rsidR="00637E38" w:rsidRDefault="00F00553" w:rsidP="00637E38">
      <w:pPr>
        <w:jc w:val="center"/>
        <w:rPr>
          <w:b/>
          <w:sz w:val="22"/>
          <w:szCs w:val="22"/>
        </w:rPr>
      </w:pPr>
      <w:r w:rsidRPr="004760A7">
        <w:rPr>
          <w:b/>
          <w:sz w:val="22"/>
          <w:szCs w:val="22"/>
        </w:rPr>
        <w:t xml:space="preserve">IMMUPHARMA </w:t>
      </w:r>
      <w:r w:rsidR="005169FD">
        <w:rPr>
          <w:b/>
          <w:sz w:val="22"/>
          <w:szCs w:val="22"/>
        </w:rPr>
        <w:t>AT</w:t>
      </w:r>
      <w:r w:rsidR="002F16FA">
        <w:rPr>
          <w:b/>
          <w:sz w:val="22"/>
          <w:szCs w:val="22"/>
        </w:rPr>
        <w:t xml:space="preserve"> JP MORGAN CONFERENCE &amp;</w:t>
      </w:r>
      <w:r w:rsidR="005D5EEF">
        <w:rPr>
          <w:b/>
          <w:sz w:val="22"/>
          <w:szCs w:val="22"/>
        </w:rPr>
        <w:t xml:space="preserve"> </w:t>
      </w:r>
      <w:r w:rsidR="00637E38">
        <w:rPr>
          <w:b/>
          <w:sz w:val="22"/>
          <w:szCs w:val="22"/>
        </w:rPr>
        <w:t>BIOTECH SHOWCASE™</w:t>
      </w:r>
    </w:p>
    <w:p w14:paraId="6AC1E13D" w14:textId="02B6013E" w:rsidR="003A1A1F" w:rsidRPr="004760A7" w:rsidRDefault="00BD6D0A" w:rsidP="00637E38">
      <w:pPr>
        <w:jc w:val="center"/>
        <w:rPr>
          <w:b/>
          <w:sz w:val="22"/>
          <w:szCs w:val="22"/>
        </w:rPr>
      </w:pPr>
      <w:r>
        <w:rPr>
          <w:b/>
          <w:sz w:val="22"/>
          <w:szCs w:val="22"/>
        </w:rPr>
        <w:t>12-14</w:t>
      </w:r>
      <w:r w:rsidR="003A1A1F">
        <w:rPr>
          <w:b/>
          <w:sz w:val="22"/>
          <w:szCs w:val="22"/>
        </w:rPr>
        <w:t xml:space="preserve"> January 202</w:t>
      </w:r>
      <w:r w:rsidR="00140063">
        <w:rPr>
          <w:b/>
          <w:sz w:val="22"/>
          <w:szCs w:val="22"/>
        </w:rPr>
        <w:t>6</w:t>
      </w:r>
      <w:r w:rsidR="00F004B0">
        <w:rPr>
          <w:b/>
          <w:sz w:val="22"/>
          <w:szCs w:val="22"/>
        </w:rPr>
        <w:t xml:space="preserve"> | San Francisco</w:t>
      </w:r>
    </w:p>
    <w:p w14:paraId="2AEAD9F2" w14:textId="77777777" w:rsidR="00637E38" w:rsidRPr="00F00553" w:rsidRDefault="00637E38" w:rsidP="00565F50">
      <w:pPr>
        <w:jc w:val="both"/>
        <w:rPr>
          <w:sz w:val="22"/>
          <w:szCs w:val="22"/>
        </w:rPr>
      </w:pPr>
    </w:p>
    <w:p w14:paraId="0EB7EB43" w14:textId="43C4EA5F" w:rsidR="00D12455" w:rsidRDefault="00F00553" w:rsidP="00565F50">
      <w:pPr>
        <w:jc w:val="both"/>
        <w:rPr>
          <w:sz w:val="22"/>
          <w:szCs w:val="22"/>
        </w:rPr>
      </w:pPr>
      <w:r w:rsidRPr="00F00553">
        <w:rPr>
          <w:sz w:val="22"/>
          <w:szCs w:val="22"/>
        </w:rPr>
        <w:t xml:space="preserve">ImmuPharma PLC (LSE:IMM), </w:t>
      </w:r>
      <w:r w:rsidR="000833AE">
        <w:rPr>
          <w:sz w:val="22"/>
          <w:szCs w:val="22"/>
        </w:rPr>
        <w:t>the</w:t>
      </w:r>
      <w:r w:rsidRPr="00F00553">
        <w:rPr>
          <w:sz w:val="22"/>
          <w:szCs w:val="22"/>
        </w:rPr>
        <w:t xml:space="preserve"> specialist drug discovery and development company, </w:t>
      </w:r>
      <w:r w:rsidR="00637E38">
        <w:rPr>
          <w:sz w:val="22"/>
          <w:szCs w:val="22"/>
        </w:rPr>
        <w:t>announces</w:t>
      </w:r>
      <w:r w:rsidRPr="00F00553">
        <w:rPr>
          <w:sz w:val="22"/>
          <w:szCs w:val="22"/>
        </w:rPr>
        <w:t xml:space="preserve"> that </w:t>
      </w:r>
      <w:r w:rsidR="00E904C6" w:rsidRPr="005D5EEF">
        <w:rPr>
          <w:rFonts w:asciiTheme="minorHAnsi" w:hAnsiTheme="minorHAnsi" w:cstheme="minorHAnsi"/>
          <w:sz w:val="22"/>
          <w:szCs w:val="22"/>
        </w:rPr>
        <w:t>Tim McCarthy, CEO</w:t>
      </w:r>
      <w:r w:rsidR="00BB6FE8">
        <w:rPr>
          <w:rFonts w:asciiTheme="minorHAnsi" w:hAnsiTheme="minorHAnsi" w:cstheme="minorHAnsi"/>
          <w:sz w:val="22"/>
          <w:szCs w:val="22"/>
        </w:rPr>
        <w:t xml:space="preserve">, </w:t>
      </w:r>
      <w:r w:rsidR="00D12455" w:rsidRPr="005D5EEF">
        <w:rPr>
          <w:rFonts w:asciiTheme="minorHAnsi" w:hAnsiTheme="minorHAnsi" w:cstheme="minorHAnsi"/>
          <w:sz w:val="22"/>
          <w:szCs w:val="22"/>
        </w:rPr>
        <w:t>Dr Tim Franklin, C</w:t>
      </w:r>
      <w:r w:rsidR="00E904C6" w:rsidRPr="005D5EEF">
        <w:rPr>
          <w:rFonts w:asciiTheme="minorHAnsi" w:hAnsiTheme="minorHAnsi" w:cstheme="minorHAnsi"/>
          <w:sz w:val="22"/>
          <w:szCs w:val="22"/>
        </w:rPr>
        <w:t>OO</w:t>
      </w:r>
      <w:r w:rsidR="00D12455" w:rsidRPr="005D5EEF">
        <w:rPr>
          <w:rFonts w:asciiTheme="minorHAnsi" w:hAnsiTheme="minorHAnsi" w:cstheme="minorHAnsi"/>
          <w:sz w:val="22"/>
          <w:szCs w:val="22"/>
        </w:rPr>
        <w:t xml:space="preserve">, </w:t>
      </w:r>
      <w:r w:rsidR="00C34192" w:rsidRPr="00C34192">
        <w:rPr>
          <w:rFonts w:asciiTheme="minorHAnsi" w:hAnsiTheme="minorHAnsi" w:cstheme="minorHAnsi"/>
          <w:sz w:val="22"/>
          <w:szCs w:val="22"/>
        </w:rPr>
        <w:t>and Dr Sebastien Goudreau, C</w:t>
      </w:r>
      <w:r w:rsidR="00C34192">
        <w:rPr>
          <w:rFonts w:asciiTheme="minorHAnsi" w:hAnsiTheme="minorHAnsi" w:cstheme="minorHAnsi"/>
          <w:sz w:val="22"/>
          <w:szCs w:val="22"/>
        </w:rPr>
        <w:t xml:space="preserve">SO, </w:t>
      </w:r>
      <w:r w:rsidR="00C34192" w:rsidRPr="00C34192">
        <w:rPr>
          <w:rFonts w:asciiTheme="minorHAnsi" w:hAnsiTheme="minorHAnsi" w:cstheme="minorHAnsi"/>
          <w:sz w:val="22"/>
          <w:szCs w:val="22"/>
        </w:rPr>
        <w:t xml:space="preserve">will be attending both the JP Morgan Conference and the Biotech Showcase from </w:t>
      </w:r>
      <w:r w:rsidR="00B25D49">
        <w:rPr>
          <w:rFonts w:asciiTheme="minorHAnsi" w:hAnsiTheme="minorHAnsi" w:cstheme="minorHAnsi"/>
          <w:sz w:val="22"/>
          <w:szCs w:val="22"/>
        </w:rPr>
        <w:t>12-14</w:t>
      </w:r>
      <w:r w:rsidR="00C34192" w:rsidRPr="00C34192">
        <w:rPr>
          <w:rFonts w:asciiTheme="minorHAnsi" w:hAnsiTheme="minorHAnsi" w:cstheme="minorHAnsi"/>
          <w:sz w:val="22"/>
          <w:szCs w:val="22"/>
        </w:rPr>
        <w:t xml:space="preserve"> January 202</w:t>
      </w:r>
      <w:r w:rsidR="00B25D49">
        <w:rPr>
          <w:rFonts w:asciiTheme="minorHAnsi" w:hAnsiTheme="minorHAnsi" w:cstheme="minorHAnsi"/>
          <w:sz w:val="22"/>
          <w:szCs w:val="22"/>
        </w:rPr>
        <w:t>6</w:t>
      </w:r>
      <w:r w:rsidR="00C34192" w:rsidRPr="00C34192">
        <w:rPr>
          <w:rFonts w:asciiTheme="minorHAnsi" w:hAnsiTheme="minorHAnsi" w:cstheme="minorHAnsi"/>
          <w:sz w:val="22"/>
          <w:szCs w:val="22"/>
        </w:rPr>
        <w:t>, in San Francisco</w:t>
      </w:r>
      <w:r w:rsidR="00B25D49">
        <w:rPr>
          <w:rFonts w:asciiTheme="minorHAnsi" w:hAnsiTheme="minorHAnsi" w:cstheme="minorHAnsi"/>
          <w:sz w:val="22"/>
          <w:szCs w:val="22"/>
        </w:rPr>
        <w:t>, USA.</w:t>
      </w:r>
    </w:p>
    <w:p w14:paraId="2D25E334" w14:textId="77777777" w:rsidR="00C05470" w:rsidRDefault="00C05470" w:rsidP="00565F50">
      <w:pPr>
        <w:jc w:val="both"/>
        <w:rPr>
          <w:rFonts w:eastAsia="Times New Roman" w:cs="Calibri"/>
          <w:color w:val="2D2D2D"/>
          <w:sz w:val="22"/>
          <w:szCs w:val="22"/>
          <w:lang w:eastAsia="en-GB"/>
        </w:rPr>
      </w:pPr>
    </w:p>
    <w:p w14:paraId="3B48E04E" w14:textId="67BF94A6" w:rsidR="00575C10" w:rsidRDefault="006546F5" w:rsidP="00565F50">
      <w:pPr>
        <w:jc w:val="both"/>
        <w:rPr>
          <w:rFonts w:cs="Calibri"/>
          <w:color w:val="000000"/>
          <w:sz w:val="22"/>
          <w:szCs w:val="22"/>
          <w:shd w:val="clear" w:color="auto" w:fill="FFFFFF"/>
        </w:rPr>
      </w:pPr>
      <w:r>
        <w:rPr>
          <w:rFonts w:cs="Calibri"/>
          <w:color w:val="000000"/>
          <w:sz w:val="22"/>
          <w:szCs w:val="22"/>
          <w:shd w:val="clear" w:color="auto" w:fill="FFFFFF"/>
        </w:rPr>
        <w:t>The JP Morgan conference and Biotech Showcase are annual premier partnering events, designed to provide biotechnology companies with the opportunity to present to and connect with global Biopharma companies and investors.</w:t>
      </w:r>
    </w:p>
    <w:p w14:paraId="1A399248" w14:textId="77777777" w:rsidR="00BA286E" w:rsidRDefault="00BA286E" w:rsidP="00565F50">
      <w:pPr>
        <w:jc w:val="both"/>
        <w:rPr>
          <w:rFonts w:cs="Calibri"/>
          <w:color w:val="000000"/>
          <w:sz w:val="22"/>
          <w:szCs w:val="22"/>
          <w:shd w:val="clear" w:color="auto" w:fill="FFFFFF"/>
        </w:rPr>
      </w:pPr>
    </w:p>
    <w:p w14:paraId="75CBBCED" w14:textId="03DD1FC7" w:rsidR="00BA286E" w:rsidRDefault="00BA286E" w:rsidP="00BA286E">
      <w:pPr>
        <w:jc w:val="center"/>
        <w:rPr>
          <w:rFonts w:cs="Calibri"/>
          <w:color w:val="000000"/>
          <w:sz w:val="22"/>
          <w:szCs w:val="22"/>
          <w:shd w:val="clear" w:color="auto" w:fill="FFFFFF"/>
        </w:rPr>
      </w:pPr>
      <w:r>
        <w:rPr>
          <w:rFonts w:cs="Calibri"/>
          <w:color w:val="000000"/>
          <w:sz w:val="22"/>
          <w:szCs w:val="22"/>
          <w:shd w:val="clear" w:color="auto" w:fill="FFFFFF"/>
        </w:rPr>
        <w:t>End</w:t>
      </w:r>
    </w:p>
    <w:p w14:paraId="34452EF2" w14:textId="77777777" w:rsidR="00BA286E" w:rsidRDefault="00BA286E" w:rsidP="00BA286E">
      <w:pPr>
        <w:jc w:val="center"/>
        <w:rPr>
          <w:rFonts w:cs="Calibri"/>
          <w:color w:val="000000"/>
          <w:sz w:val="22"/>
          <w:szCs w:val="22"/>
          <w:shd w:val="clear" w:color="auto" w:fill="FFFFFF"/>
        </w:rPr>
      </w:pPr>
    </w:p>
    <w:tbl>
      <w:tblPr>
        <w:tblW w:w="9322" w:type="dxa"/>
        <w:tblInd w:w="-108" w:type="dxa"/>
        <w:tblLayout w:type="fixed"/>
        <w:tblCellMar>
          <w:left w:w="0" w:type="dxa"/>
          <w:right w:w="0" w:type="dxa"/>
        </w:tblCellMar>
        <w:tblLook w:val="04A0" w:firstRow="1" w:lastRow="0" w:firstColumn="1" w:lastColumn="0" w:noHBand="0" w:noVBand="1"/>
      </w:tblPr>
      <w:tblGrid>
        <w:gridCol w:w="9322"/>
      </w:tblGrid>
      <w:tr w:rsidR="0067477C" w:rsidRPr="00A7174C" w14:paraId="43C03EAD" w14:textId="77777777" w:rsidTr="001B2303">
        <w:tc>
          <w:tcPr>
            <w:tcW w:w="9322" w:type="dxa"/>
            <w:tcMar>
              <w:top w:w="0" w:type="dxa"/>
              <w:left w:w="108" w:type="dxa"/>
              <w:bottom w:w="0" w:type="dxa"/>
              <w:right w:w="108" w:type="dxa"/>
            </w:tcMar>
            <w:hideMark/>
          </w:tcPr>
          <w:p w14:paraId="0B2025A3" w14:textId="77777777" w:rsidR="0067477C" w:rsidRPr="00A7174C" w:rsidRDefault="0067477C" w:rsidP="001B2303">
            <w:pPr>
              <w:jc w:val="both"/>
              <w:rPr>
                <w:rFonts w:cstheme="minorHAnsi"/>
                <w:sz w:val="20"/>
                <w:szCs w:val="20"/>
              </w:rPr>
            </w:pPr>
            <w:r w:rsidRPr="00A7174C">
              <w:rPr>
                <w:rFonts w:cstheme="minorHAnsi"/>
                <w:sz w:val="20"/>
                <w:szCs w:val="20"/>
              </w:rPr>
              <w:t>For further information please contact:</w:t>
            </w:r>
          </w:p>
          <w:p w14:paraId="6B508999" w14:textId="77777777" w:rsidR="0067477C" w:rsidRPr="00A7174C" w:rsidRDefault="0067477C" w:rsidP="001B2303">
            <w:pPr>
              <w:jc w:val="both"/>
              <w:rPr>
                <w:rFonts w:cstheme="minorHAnsi"/>
                <w:sz w:val="20"/>
                <w:szCs w:val="20"/>
              </w:rPr>
            </w:pPr>
            <w:r w:rsidRPr="00A7174C">
              <w:rPr>
                <w:rFonts w:cstheme="minorHAnsi"/>
                <w:sz w:val="20"/>
                <w:szCs w:val="20"/>
              </w:rPr>
              <w:t> </w:t>
            </w:r>
          </w:p>
          <w:tbl>
            <w:tblPr>
              <w:tblW w:w="10206" w:type="dxa"/>
              <w:tblLayout w:type="fixed"/>
              <w:tblCellMar>
                <w:left w:w="0" w:type="dxa"/>
                <w:right w:w="0" w:type="dxa"/>
              </w:tblCellMar>
              <w:tblLook w:val="04A0" w:firstRow="1" w:lastRow="0" w:firstColumn="1" w:lastColumn="0" w:noHBand="0" w:noVBand="1"/>
            </w:tblPr>
            <w:tblGrid>
              <w:gridCol w:w="6096"/>
              <w:gridCol w:w="4110"/>
            </w:tblGrid>
            <w:tr w:rsidR="0067477C" w:rsidRPr="00A7174C" w14:paraId="50BC6658" w14:textId="77777777" w:rsidTr="001B2303">
              <w:tc>
                <w:tcPr>
                  <w:tcW w:w="6096" w:type="dxa"/>
                  <w:tcMar>
                    <w:top w:w="0" w:type="dxa"/>
                    <w:left w:w="108" w:type="dxa"/>
                    <w:bottom w:w="0" w:type="dxa"/>
                    <w:right w:w="108" w:type="dxa"/>
                  </w:tcMar>
                  <w:hideMark/>
                </w:tcPr>
                <w:p w14:paraId="0BBB92F1" w14:textId="77777777" w:rsidR="0067477C" w:rsidRPr="00A7174C" w:rsidRDefault="0067477C" w:rsidP="001B2303">
                  <w:pPr>
                    <w:jc w:val="both"/>
                    <w:rPr>
                      <w:rFonts w:cstheme="minorHAnsi"/>
                      <w:sz w:val="20"/>
                      <w:szCs w:val="20"/>
                      <w:lang w:val="fr-FR"/>
                    </w:rPr>
                  </w:pPr>
                  <w:r w:rsidRPr="00A7174C">
                    <w:rPr>
                      <w:rFonts w:cstheme="minorHAnsi"/>
                      <w:b/>
                      <w:bCs/>
                      <w:sz w:val="20"/>
                      <w:szCs w:val="20"/>
                      <w:lang w:val="fr-FR"/>
                    </w:rPr>
                    <w:t>ImmuPharma PLC (</w:t>
                  </w:r>
                  <w:hyperlink r:id="rId6" w:history="1">
                    <w:r w:rsidRPr="00A7174C">
                      <w:rPr>
                        <w:rStyle w:val="Hyperlink"/>
                        <w:rFonts w:cstheme="minorHAnsi"/>
                        <w:sz w:val="20"/>
                        <w:szCs w:val="20"/>
                        <w:lang w:val="fr-FR"/>
                      </w:rPr>
                      <w:t>www.immupharma.co.uk</w:t>
                    </w:r>
                  </w:hyperlink>
                  <w:r w:rsidRPr="00A7174C">
                    <w:rPr>
                      <w:rFonts w:cstheme="minorHAnsi"/>
                      <w:sz w:val="20"/>
                      <w:szCs w:val="20"/>
                      <w:lang w:val="fr-FR"/>
                    </w:rPr>
                    <w:t>)</w:t>
                  </w:r>
                </w:p>
                <w:p w14:paraId="3600F1CE" w14:textId="77777777" w:rsidR="0067477C" w:rsidRPr="00A7174C" w:rsidRDefault="0067477C" w:rsidP="001B2303">
                  <w:pPr>
                    <w:jc w:val="both"/>
                    <w:rPr>
                      <w:rFonts w:cstheme="minorHAnsi"/>
                      <w:bCs/>
                      <w:sz w:val="20"/>
                      <w:szCs w:val="20"/>
                    </w:rPr>
                  </w:pPr>
                  <w:r w:rsidRPr="00A7174C">
                    <w:rPr>
                      <w:rFonts w:cstheme="minorHAnsi"/>
                      <w:bCs/>
                      <w:sz w:val="20"/>
                      <w:szCs w:val="20"/>
                    </w:rPr>
                    <w:t>Tim McCarthy, Chief Executive Officer</w:t>
                  </w:r>
                </w:p>
                <w:p w14:paraId="5D4945E6" w14:textId="77777777" w:rsidR="0067477C" w:rsidRPr="00A7174C" w:rsidRDefault="0067477C" w:rsidP="001B2303">
                  <w:pPr>
                    <w:jc w:val="both"/>
                    <w:rPr>
                      <w:rFonts w:cstheme="minorHAnsi"/>
                      <w:bCs/>
                      <w:sz w:val="20"/>
                      <w:szCs w:val="20"/>
                    </w:rPr>
                  </w:pPr>
                  <w:r w:rsidRPr="00A7174C">
                    <w:rPr>
                      <w:rFonts w:cstheme="minorHAnsi"/>
                      <w:sz w:val="20"/>
                      <w:szCs w:val="20"/>
                    </w:rPr>
                    <w:t>Lisa Baderoon, Head of Investor Relations</w:t>
                  </w:r>
                </w:p>
              </w:tc>
              <w:tc>
                <w:tcPr>
                  <w:tcW w:w="4110" w:type="dxa"/>
                  <w:tcMar>
                    <w:top w:w="0" w:type="dxa"/>
                    <w:left w:w="108" w:type="dxa"/>
                    <w:bottom w:w="0" w:type="dxa"/>
                    <w:right w:w="108" w:type="dxa"/>
                  </w:tcMar>
                  <w:hideMark/>
                </w:tcPr>
                <w:p w14:paraId="5F0B6F21" w14:textId="77777777" w:rsidR="0067477C" w:rsidRPr="00A7174C" w:rsidRDefault="0067477C" w:rsidP="001B2303">
                  <w:pPr>
                    <w:jc w:val="both"/>
                    <w:rPr>
                      <w:rFonts w:cstheme="minorHAnsi"/>
                      <w:sz w:val="20"/>
                      <w:szCs w:val="20"/>
                    </w:rPr>
                  </w:pPr>
                  <w:r w:rsidRPr="00A7174C">
                    <w:rPr>
                      <w:rFonts w:cstheme="minorHAnsi"/>
                      <w:sz w:val="20"/>
                      <w:szCs w:val="20"/>
                    </w:rPr>
                    <w:t>+44 (0) 207 206 2650</w:t>
                  </w:r>
                </w:p>
                <w:p w14:paraId="54B33860" w14:textId="77777777" w:rsidR="0067477C" w:rsidRPr="00A7174C" w:rsidRDefault="0067477C" w:rsidP="001B2303">
                  <w:pPr>
                    <w:jc w:val="both"/>
                    <w:rPr>
                      <w:rFonts w:cstheme="minorHAnsi"/>
                      <w:sz w:val="20"/>
                      <w:szCs w:val="20"/>
                    </w:rPr>
                  </w:pPr>
                </w:p>
                <w:p w14:paraId="7A86B096" w14:textId="77777777" w:rsidR="0067477C" w:rsidRPr="00A7174C" w:rsidRDefault="0067477C" w:rsidP="001B2303">
                  <w:pPr>
                    <w:jc w:val="both"/>
                    <w:rPr>
                      <w:rFonts w:cstheme="minorHAnsi"/>
                      <w:sz w:val="20"/>
                      <w:szCs w:val="20"/>
                    </w:rPr>
                  </w:pPr>
                  <w:r w:rsidRPr="00A7174C">
                    <w:rPr>
                      <w:rFonts w:cstheme="minorHAnsi"/>
                      <w:sz w:val="20"/>
                      <w:szCs w:val="20"/>
                    </w:rPr>
                    <w:t>+ 44 (0) 7721 413496</w:t>
                  </w:r>
                </w:p>
                <w:p w14:paraId="1C31520C" w14:textId="77777777" w:rsidR="0067477C" w:rsidRPr="00A7174C" w:rsidRDefault="0067477C" w:rsidP="001B2303">
                  <w:pPr>
                    <w:jc w:val="both"/>
                    <w:rPr>
                      <w:rFonts w:cstheme="minorHAnsi"/>
                      <w:sz w:val="20"/>
                      <w:szCs w:val="20"/>
                    </w:rPr>
                  </w:pPr>
                </w:p>
                <w:p w14:paraId="2B254B09" w14:textId="77777777" w:rsidR="0067477C" w:rsidRPr="00A7174C" w:rsidRDefault="0067477C" w:rsidP="001B2303">
                  <w:pPr>
                    <w:jc w:val="both"/>
                    <w:rPr>
                      <w:rFonts w:cstheme="minorHAnsi"/>
                      <w:sz w:val="20"/>
                      <w:szCs w:val="20"/>
                    </w:rPr>
                  </w:pPr>
                </w:p>
              </w:tc>
            </w:tr>
            <w:tr w:rsidR="0067477C" w:rsidRPr="00A7174C" w14:paraId="7A48264F" w14:textId="77777777" w:rsidTr="001B2303">
              <w:tc>
                <w:tcPr>
                  <w:tcW w:w="6096" w:type="dxa"/>
                  <w:tcMar>
                    <w:top w:w="0" w:type="dxa"/>
                    <w:left w:w="108" w:type="dxa"/>
                    <w:bottom w:w="0" w:type="dxa"/>
                    <w:right w:w="108" w:type="dxa"/>
                  </w:tcMar>
                  <w:hideMark/>
                </w:tcPr>
                <w:p w14:paraId="66AF2225" w14:textId="77777777" w:rsidR="0067477C" w:rsidRPr="00A7174C" w:rsidRDefault="0067477C" w:rsidP="001B2303">
                  <w:pPr>
                    <w:jc w:val="both"/>
                    <w:rPr>
                      <w:rFonts w:cstheme="minorHAnsi"/>
                      <w:sz w:val="20"/>
                      <w:szCs w:val="20"/>
                    </w:rPr>
                  </w:pPr>
                </w:p>
              </w:tc>
              <w:tc>
                <w:tcPr>
                  <w:tcW w:w="4110" w:type="dxa"/>
                  <w:tcMar>
                    <w:top w:w="0" w:type="dxa"/>
                    <w:left w:w="108" w:type="dxa"/>
                    <w:bottom w:w="0" w:type="dxa"/>
                    <w:right w:w="108" w:type="dxa"/>
                  </w:tcMar>
                  <w:hideMark/>
                </w:tcPr>
                <w:p w14:paraId="67BDE006" w14:textId="77777777" w:rsidR="0067477C" w:rsidRPr="00A7174C" w:rsidRDefault="0067477C" w:rsidP="001B2303">
                  <w:pPr>
                    <w:jc w:val="both"/>
                    <w:rPr>
                      <w:rFonts w:cstheme="minorHAnsi"/>
                      <w:sz w:val="20"/>
                      <w:szCs w:val="20"/>
                    </w:rPr>
                  </w:pPr>
                </w:p>
              </w:tc>
            </w:tr>
            <w:tr w:rsidR="0067477C" w:rsidRPr="00A7174C" w14:paraId="5757E8D6" w14:textId="77777777" w:rsidTr="001B2303">
              <w:tc>
                <w:tcPr>
                  <w:tcW w:w="6096" w:type="dxa"/>
                  <w:tcMar>
                    <w:top w:w="0" w:type="dxa"/>
                    <w:left w:w="108" w:type="dxa"/>
                    <w:bottom w:w="0" w:type="dxa"/>
                    <w:right w:w="108" w:type="dxa"/>
                  </w:tcMar>
                </w:tcPr>
                <w:p w14:paraId="3CF2A6A0" w14:textId="77777777" w:rsidR="0067477C" w:rsidRPr="00A7174C" w:rsidRDefault="0067477C" w:rsidP="001B2303">
                  <w:pPr>
                    <w:jc w:val="both"/>
                    <w:rPr>
                      <w:rFonts w:cstheme="minorHAnsi"/>
                      <w:b/>
                      <w:bCs/>
                      <w:sz w:val="20"/>
                      <w:szCs w:val="20"/>
                    </w:rPr>
                  </w:pPr>
                  <w:r w:rsidRPr="00A7174C">
                    <w:rPr>
                      <w:rFonts w:cstheme="minorHAnsi"/>
                      <w:b/>
                      <w:bCs/>
                      <w:sz w:val="20"/>
                      <w:szCs w:val="20"/>
                    </w:rPr>
                    <w:t>SPARK Advisory Partners Limited (NOMAD)</w:t>
                  </w:r>
                </w:p>
                <w:p w14:paraId="43EF20C4" w14:textId="77777777" w:rsidR="0067477C" w:rsidRDefault="0067477C" w:rsidP="001B2303">
                  <w:pPr>
                    <w:jc w:val="both"/>
                    <w:rPr>
                      <w:rFonts w:cstheme="minorHAnsi"/>
                      <w:sz w:val="20"/>
                      <w:szCs w:val="20"/>
                    </w:rPr>
                  </w:pPr>
                  <w:r w:rsidRPr="00A7174C">
                    <w:rPr>
                      <w:rFonts w:cstheme="minorHAnsi"/>
                      <w:sz w:val="20"/>
                      <w:szCs w:val="20"/>
                    </w:rPr>
                    <w:t>Neil Baldwin</w:t>
                  </w:r>
                </w:p>
                <w:p w14:paraId="47C8D479" w14:textId="77777777" w:rsidR="0067477C" w:rsidRPr="00A7174C" w:rsidRDefault="0067477C" w:rsidP="001B2303">
                  <w:pPr>
                    <w:jc w:val="both"/>
                    <w:rPr>
                      <w:rFonts w:cstheme="minorHAnsi"/>
                      <w:sz w:val="20"/>
                      <w:szCs w:val="20"/>
                    </w:rPr>
                  </w:pPr>
                </w:p>
                <w:p w14:paraId="7E8BF48E" w14:textId="77777777" w:rsidR="0067477C" w:rsidRPr="00A7174C" w:rsidRDefault="0067477C" w:rsidP="001B2303">
                  <w:pPr>
                    <w:jc w:val="both"/>
                    <w:rPr>
                      <w:rFonts w:cstheme="minorHAnsi"/>
                      <w:b/>
                      <w:bCs/>
                      <w:sz w:val="20"/>
                      <w:szCs w:val="20"/>
                    </w:rPr>
                  </w:pPr>
                  <w:r w:rsidRPr="00A7174C">
                    <w:rPr>
                      <w:rFonts w:cstheme="minorHAnsi"/>
                      <w:b/>
                      <w:bCs/>
                      <w:sz w:val="20"/>
                      <w:szCs w:val="20"/>
                    </w:rPr>
                    <w:t>Stanford Capital Partners (Joint Broker)</w:t>
                  </w:r>
                  <w:r w:rsidRPr="00A7174C">
                    <w:rPr>
                      <w:rFonts w:cstheme="minorHAnsi"/>
                      <w:sz w:val="20"/>
                      <w:szCs w:val="20"/>
                    </w:rPr>
                    <w:t xml:space="preserve"> </w:t>
                  </w:r>
                </w:p>
                <w:p w14:paraId="5A31DA2E" w14:textId="77777777" w:rsidR="0067477C" w:rsidRDefault="0067477C" w:rsidP="001B2303">
                  <w:pPr>
                    <w:jc w:val="both"/>
                    <w:rPr>
                      <w:rFonts w:cstheme="minorHAnsi"/>
                      <w:sz w:val="20"/>
                      <w:szCs w:val="20"/>
                    </w:rPr>
                  </w:pPr>
                  <w:r w:rsidRPr="00A7174C">
                    <w:rPr>
                      <w:rFonts w:cstheme="minorHAnsi"/>
                      <w:sz w:val="20"/>
                      <w:szCs w:val="20"/>
                    </w:rPr>
                    <w:t xml:space="preserve">Patrick Claridge, Bob Pountney </w:t>
                  </w:r>
                </w:p>
                <w:p w14:paraId="458BF472" w14:textId="77777777" w:rsidR="0067477C" w:rsidRPr="00A7174C" w:rsidRDefault="0067477C" w:rsidP="001B2303">
                  <w:pPr>
                    <w:jc w:val="both"/>
                    <w:rPr>
                      <w:rFonts w:cstheme="minorHAnsi"/>
                      <w:sz w:val="20"/>
                      <w:szCs w:val="20"/>
                    </w:rPr>
                  </w:pPr>
                </w:p>
                <w:p w14:paraId="252D9C2C" w14:textId="77777777" w:rsidR="0067477C" w:rsidRPr="00A7174C" w:rsidRDefault="0067477C" w:rsidP="001B2303">
                  <w:pPr>
                    <w:jc w:val="both"/>
                    <w:rPr>
                      <w:rFonts w:cstheme="minorHAnsi"/>
                      <w:b/>
                      <w:sz w:val="20"/>
                      <w:szCs w:val="20"/>
                    </w:rPr>
                  </w:pPr>
                  <w:r w:rsidRPr="00A7174C">
                    <w:rPr>
                      <w:rFonts w:cstheme="minorHAnsi"/>
                      <w:b/>
                      <w:sz w:val="20"/>
                      <w:szCs w:val="20"/>
                    </w:rPr>
                    <w:t>SI Capital (Joint Broker)</w:t>
                  </w:r>
                </w:p>
                <w:p w14:paraId="61CD06E5" w14:textId="77777777" w:rsidR="0067477C" w:rsidRPr="00A7174C" w:rsidRDefault="0067477C" w:rsidP="001B2303">
                  <w:pPr>
                    <w:jc w:val="both"/>
                    <w:rPr>
                      <w:rFonts w:cstheme="minorHAnsi"/>
                      <w:sz w:val="20"/>
                      <w:szCs w:val="20"/>
                    </w:rPr>
                  </w:pPr>
                  <w:r w:rsidRPr="00A7174C">
                    <w:rPr>
                      <w:rFonts w:cstheme="minorHAnsi"/>
                      <w:sz w:val="20"/>
                      <w:szCs w:val="20"/>
                    </w:rPr>
                    <w:t>Nick Emerson</w:t>
                  </w:r>
                </w:p>
                <w:p w14:paraId="118E60E7" w14:textId="77777777" w:rsidR="0067477C" w:rsidRPr="00A7174C" w:rsidRDefault="0067477C" w:rsidP="001B2303">
                  <w:pPr>
                    <w:jc w:val="both"/>
                    <w:rPr>
                      <w:rFonts w:cstheme="minorHAnsi"/>
                      <w:sz w:val="20"/>
                      <w:szCs w:val="20"/>
                    </w:rPr>
                  </w:pPr>
                </w:p>
              </w:tc>
              <w:tc>
                <w:tcPr>
                  <w:tcW w:w="4110" w:type="dxa"/>
                  <w:tcMar>
                    <w:top w:w="0" w:type="dxa"/>
                    <w:left w:w="108" w:type="dxa"/>
                    <w:bottom w:w="0" w:type="dxa"/>
                    <w:right w:w="108" w:type="dxa"/>
                  </w:tcMar>
                </w:tcPr>
                <w:p w14:paraId="1E282C00" w14:textId="77777777" w:rsidR="0067477C" w:rsidRPr="00A7174C" w:rsidRDefault="0067477C" w:rsidP="001B2303">
                  <w:pPr>
                    <w:jc w:val="both"/>
                    <w:rPr>
                      <w:rFonts w:cstheme="minorHAnsi"/>
                      <w:sz w:val="20"/>
                      <w:szCs w:val="20"/>
                    </w:rPr>
                  </w:pPr>
                  <w:r w:rsidRPr="00A7174C">
                    <w:rPr>
                      <w:rFonts w:cstheme="minorHAnsi"/>
                      <w:sz w:val="20"/>
                      <w:szCs w:val="20"/>
                    </w:rPr>
                    <w:t>+44 (0) 203 36</w:t>
                  </w:r>
                  <w:hyperlink r:id="rId7" w:history="1">
                    <w:r w:rsidRPr="00A7174C">
                      <w:rPr>
                        <w:rStyle w:val="Hyperlink"/>
                        <w:rFonts w:cstheme="minorHAnsi"/>
                        <w:sz w:val="20"/>
                        <w:szCs w:val="20"/>
                      </w:rPr>
                      <w:t>8 3550</w:t>
                    </w:r>
                  </w:hyperlink>
                </w:p>
                <w:p w14:paraId="062CCAAE" w14:textId="77777777" w:rsidR="0067477C" w:rsidRPr="00A7174C" w:rsidRDefault="0067477C" w:rsidP="001B2303">
                  <w:pPr>
                    <w:jc w:val="both"/>
                    <w:rPr>
                      <w:rFonts w:cstheme="minorHAnsi"/>
                      <w:sz w:val="20"/>
                      <w:szCs w:val="20"/>
                    </w:rPr>
                  </w:pPr>
                </w:p>
                <w:p w14:paraId="7F681E0B" w14:textId="77777777" w:rsidR="0067477C" w:rsidRPr="00A7174C" w:rsidRDefault="0067477C" w:rsidP="001B2303">
                  <w:pPr>
                    <w:jc w:val="both"/>
                    <w:rPr>
                      <w:rFonts w:cstheme="minorHAnsi"/>
                      <w:sz w:val="20"/>
                      <w:szCs w:val="20"/>
                    </w:rPr>
                  </w:pPr>
                </w:p>
                <w:p w14:paraId="58558BF9" w14:textId="77777777" w:rsidR="0067477C" w:rsidRPr="00A7174C" w:rsidRDefault="0067477C" w:rsidP="001B2303">
                  <w:pPr>
                    <w:jc w:val="both"/>
                    <w:rPr>
                      <w:rFonts w:cstheme="minorHAnsi"/>
                      <w:sz w:val="20"/>
                      <w:szCs w:val="20"/>
                    </w:rPr>
                  </w:pPr>
                  <w:r w:rsidRPr="00A7174C">
                    <w:rPr>
                      <w:rFonts w:cstheme="minorHAnsi"/>
                      <w:sz w:val="20"/>
                      <w:szCs w:val="20"/>
                    </w:rPr>
                    <w:t>+44 (0) 20 3650 3650</w:t>
                  </w:r>
                </w:p>
                <w:p w14:paraId="64E7B296" w14:textId="77777777" w:rsidR="0067477C" w:rsidRDefault="0067477C" w:rsidP="001B2303">
                  <w:pPr>
                    <w:jc w:val="both"/>
                    <w:rPr>
                      <w:rFonts w:cstheme="minorHAnsi"/>
                      <w:sz w:val="20"/>
                      <w:szCs w:val="20"/>
                    </w:rPr>
                  </w:pPr>
                </w:p>
                <w:p w14:paraId="27BB0A3F" w14:textId="77777777" w:rsidR="0067477C" w:rsidRDefault="0067477C" w:rsidP="001B2303">
                  <w:pPr>
                    <w:jc w:val="both"/>
                    <w:rPr>
                      <w:rFonts w:cstheme="minorHAnsi"/>
                      <w:sz w:val="20"/>
                      <w:szCs w:val="20"/>
                    </w:rPr>
                  </w:pPr>
                </w:p>
                <w:p w14:paraId="4D84DFFD" w14:textId="77777777" w:rsidR="0067477C" w:rsidRPr="00A7174C" w:rsidRDefault="0067477C" w:rsidP="001B2303">
                  <w:pPr>
                    <w:jc w:val="both"/>
                    <w:rPr>
                      <w:rFonts w:cstheme="minorHAnsi"/>
                      <w:sz w:val="20"/>
                      <w:szCs w:val="20"/>
                    </w:rPr>
                  </w:pPr>
                  <w:r w:rsidRPr="00A7174C">
                    <w:rPr>
                      <w:rFonts w:cstheme="minorHAnsi"/>
                      <w:sz w:val="20"/>
                      <w:szCs w:val="20"/>
                    </w:rPr>
                    <w:t>+44 (0) 1483 413500</w:t>
                  </w:r>
                </w:p>
                <w:p w14:paraId="7D91C339" w14:textId="77777777" w:rsidR="0067477C" w:rsidRPr="00A7174C" w:rsidRDefault="0067477C" w:rsidP="001B2303">
                  <w:pPr>
                    <w:jc w:val="both"/>
                    <w:rPr>
                      <w:rFonts w:cstheme="minorHAnsi"/>
                      <w:sz w:val="20"/>
                      <w:szCs w:val="20"/>
                    </w:rPr>
                  </w:pPr>
                </w:p>
                <w:p w14:paraId="5BFB6B80" w14:textId="77777777" w:rsidR="0067477C" w:rsidRPr="00A7174C" w:rsidRDefault="0067477C" w:rsidP="001B2303">
                  <w:pPr>
                    <w:jc w:val="both"/>
                    <w:rPr>
                      <w:rFonts w:cstheme="minorHAnsi"/>
                      <w:sz w:val="20"/>
                      <w:szCs w:val="20"/>
                    </w:rPr>
                  </w:pPr>
                </w:p>
              </w:tc>
            </w:tr>
            <w:tr w:rsidR="0067477C" w:rsidRPr="00A7174C" w14:paraId="3A4BFC5B" w14:textId="77777777" w:rsidTr="001B2303">
              <w:tc>
                <w:tcPr>
                  <w:tcW w:w="6096" w:type="dxa"/>
                  <w:tcMar>
                    <w:top w:w="0" w:type="dxa"/>
                    <w:left w:w="108" w:type="dxa"/>
                    <w:bottom w:w="0" w:type="dxa"/>
                    <w:right w:w="108" w:type="dxa"/>
                  </w:tcMar>
                </w:tcPr>
                <w:p w14:paraId="628C43B0" w14:textId="77777777" w:rsidR="0067477C" w:rsidRPr="00A7174C" w:rsidRDefault="0067477C" w:rsidP="001B2303">
                  <w:pPr>
                    <w:jc w:val="both"/>
                    <w:rPr>
                      <w:rFonts w:cstheme="minorHAnsi"/>
                      <w:b/>
                      <w:bCs/>
                      <w:sz w:val="20"/>
                      <w:szCs w:val="20"/>
                    </w:rPr>
                  </w:pPr>
                </w:p>
              </w:tc>
              <w:tc>
                <w:tcPr>
                  <w:tcW w:w="4110" w:type="dxa"/>
                  <w:tcMar>
                    <w:top w:w="0" w:type="dxa"/>
                    <w:left w:w="108" w:type="dxa"/>
                    <w:bottom w:w="0" w:type="dxa"/>
                    <w:right w:w="108" w:type="dxa"/>
                  </w:tcMar>
                </w:tcPr>
                <w:p w14:paraId="3A0DB0FF" w14:textId="77777777" w:rsidR="0067477C" w:rsidRPr="00A7174C" w:rsidRDefault="0067477C" w:rsidP="001B2303">
                  <w:pPr>
                    <w:jc w:val="both"/>
                    <w:rPr>
                      <w:rFonts w:cstheme="minorHAnsi"/>
                      <w:sz w:val="20"/>
                      <w:szCs w:val="20"/>
                    </w:rPr>
                  </w:pPr>
                </w:p>
              </w:tc>
            </w:tr>
          </w:tbl>
          <w:p w14:paraId="101D011C" w14:textId="77777777" w:rsidR="0067477C" w:rsidRPr="00A7174C" w:rsidRDefault="0067477C" w:rsidP="001B2303">
            <w:pPr>
              <w:jc w:val="both"/>
              <w:rPr>
                <w:rFonts w:cstheme="minorHAnsi"/>
                <w:b/>
                <w:sz w:val="20"/>
                <w:szCs w:val="20"/>
              </w:rPr>
            </w:pPr>
          </w:p>
        </w:tc>
      </w:tr>
    </w:tbl>
    <w:p w14:paraId="1C438302" w14:textId="77777777" w:rsidR="0067477C" w:rsidRDefault="0067477C" w:rsidP="0067477C">
      <w:pPr>
        <w:jc w:val="both"/>
        <w:rPr>
          <w:rFonts w:cstheme="minorHAnsi"/>
          <w:b/>
          <w:sz w:val="20"/>
          <w:szCs w:val="20"/>
        </w:rPr>
      </w:pPr>
    </w:p>
    <w:p w14:paraId="65059E18" w14:textId="77777777" w:rsidR="0067477C" w:rsidRDefault="0067477C" w:rsidP="0067477C">
      <w:pPr>
        <w:jc w:val="both"/>
        <w:rPr>
          <w:rFonts w:cstheme="minorHAnsi"/>
          <w:b/>
          <w:sz w:val="20"/>
          <w:szCs w:val="20"/>
        </w:rPr>
      </w:pPr>
    </w:p>
    <w:p w14:paraId="238EEBAB" w14:textId="77777777" w:rsidR="0067477C" w:rsidRPr="00A7174C" w:rsidRDefault="0067477C" w:rsidP="0067477C">
      <w:pPr>
        <w:jc w:val="both"/>
        <w:rPr>
          <w:rFonts w:cstheme="minorHAnsi"/>
          <w:b/>
          <w:sz w:val="20"/>
          <w:szCs w:val="20"/>
        </w:rPr>
      </w:pPr>
      <w:r w:rsidRPr="00A7174C">
        <w:rPr>
          <w:rFonts w:cstheme="minorHAnsi"/>
          <w:b/>
          <w:sz w:val="20"/>
          <w:szCs w:val="20"/>
        </w:rPr>
        <w:t xml:space="preserve">Notes to Editors </w:t>
      </w:r>
    </w:p>
    <w:p w14:paraId="3CF3B6A5" w14:textId="77777777" w:rsidR="0067477C" w:rsidRPr="00A7174C" w:rsidRDefault="0067477C" w:rsidP="0067477C">
      <w:pPr>
        <w:jc w:val="both"/>
        <w:rPr>
          <w:rFonts w:cstheme="minorHAnsi"/>
          <w:b/>
          <w:bCs/>
          <w:sz w:val="20"/>
          <w:szCs w:val="20"/>
        </w:rPr>
      </w:pPr>
      <w:r w:rsidRPr="00A7174C">
        <w:rPr>
          <w:rFonts w:cstheme="minorHAnsi"/>
          <w:b/>
          <w:bCs/>
          <w:sz w:val="20"/>
          <w:szCs w:val="20"/>
        </w:rPr>
        <w:t>About ImmuPharma PLC</w:t>
      </w:r>
    </w:p>
    <w:p w14:paraId="6CB2A245" w14:textId="77777777" w:rsidR="0067477C" w:rsidRPr="00A7174C" w:rsidRDefault="0067477C" w:rsidP="0067477C">
      <w:pPr>
        <w:jc w:val="both"/>
        <w:rPr>
          <w:rFonts w:cstheme="minorHAnsi"/>
          <w:b/>
          <w:bCs/>
          <w:sz w:val="20"/>
          <w:szCs w:val="20"/>
        </w:rPr>
      </w:pPr>
    </w:p>
    <w:p w14:paraId="1C08121A" w14:textId="77777777" w:rsidR="0067477C" w:rsidRDefault="0067477C" w:rsidP="0067477C">
      <w:pPr>
        <w:jc w:val="both"/>
        <w:rPr>
          <w:rFonts w:cstheme="minorHAnsi"/>
          <w:sz w:val="20"/>
          <w:szCs w:val="20"/>
        </w:rPr>
      </w:pPr>
      <w:r w:rsidRPr="00A7174C">
        <w:rPr>
          <w:rFonts w:cstheme="minorHAnsi"/>
          <w:sz w:val="20"/>
          <w:szCs w:val="20"/>
        </w:rPr>
        <w:t>ImmuPharma PLC (LSE AIM: IMM) is a specialty biopharmaceutical company that discovers and develops peptide-based therapeutics. The Company’s portfolio includes novel peptide therapeutics for autoimmune diseases and anti-infectives.</w:t>
      </w:r>
    </w:p>
    <w:p w14:paraId="7CAB2B9C" w14:textId="77777777" w:rsidR="0067477C" w:rsidRPr="00A7174C" w:rsidRDefault="0067477C" w:rsidP="0067477C">
      <w:pPr>
        <w:jc w:val="both"/>
        <w:rPr>
          <w:rFonts w:cstheme="minorHAnsi"/>
          <w:sz w:val="20"/>
          <w:szCs w:val="20"/>
        </w:rPr>
      </w:pPr>
    </w:p>
    <w:p w14:paraId="4DB4FA67" w14:textId="77777777" w:rsidR="0067477C" w:rsidRDefault="0067477C" w:rsidP="0067477C">
      <w:pPr>
        <w:jc w:val="both"/>
        <w:rPr>
          <w:rFonts w:cstheme="minorHAnsi"/>
          <w:sz w:val="20"/>
          <w:szCs w:val="20"/>
        </w:rPr>
      </w:pPr>
      <w:r w:rsidRPr="00A7174C">
        <w:rPr>
          <w:rFonts w:cstheme="minorHAnsi"/>
          <w:sz w:val="20"/>
          <w:szCs w:val="20"/>
        </w:rPr>
        <w:t xml:space="preserve">For additional information about ImmuPharma please visit </w:t>
      </w:r>
      <w:hyperlink r:id="rId8" w:history="1">
        <w:r w:rsidRPr="00A7174C">
          <w:rPr>
            <w:rStyle w:val="Hyperlink"/>
            <w:rFonts w:cstheme="minorHAnsi"/>
            <w:sz w:val="20"/>
            <w:szCs w:val="20"/>
          </w:rPr>
          <w:t>www.immupharma.co.uk</w:t>
        </w:r>
      </w:hyperlink>
    </w:p>
    <w:p w14:paraId="32F72FA3" w14:textId="77777777" w:rsidR="0067477C" w:rsidRPr="00A7174C" w:rsidRDefault="0067477C" w:rsidP="0067477C">
      <w:pPr>
        <w:jc w:val="both"/>
        <w:rPr>
          <w:rFonts w:cstheme="minorHAnsi"/>
          <w:sz w:val="20"/>
          <w:szCs w:val="20"/>
          <w:u w:val="single"/>
        </w:rPr>
      </w:pPr>
    </w:p>
    <w:p w14:paraId="4FEB6179" w14:textId="77777777" w:rsidR="0067477C" w:rsidRDefault="0067477C" w:rsidP="0067477C">
      <w:pPr>
        <w:jc w:val="both"/>
        <w:rPr>
          <w:rFonts w:cstheme="minorHAnsi"/>
          <w:sz w:val="20"/>
          <w:szCs w:val="20"/>
          <w:lang w:val="fr-FR"/>
        </w:rPr>
      </w:pPr>
      <w:r w:rsidRPr="00A7174C">
        <w:rPr>
          <w:rFonts w:cstheme="minorHAnsi"/>
          <w:sz w:val="20"/>
          <w:szCs w:val="20"/>
          <w:lang w:val="fr-FR"/>
        </w:rPr>
        <w:t>ImmuPharma’s LEI (Legal Entity Identifier) code : 213800VZKGHXC7VUS895.</w:t>
      </w:r>
    </w:p>
    <w:p w14:paraId="14072FF5" w14:textId="77777777" w:rsidR="0067477C" w:rsidRPr="00A7174C" w:rsidRDefault="0067477C" w:rsidP="0067477C">
      <w:pPr>
        <w:jc w:val="both"/>
        <w:rPr>
          <w:rFonts w:cstheme="minorHAnsi"/>
          <w:sz w:val="20"/>
          <w:szCs w:val="20"/>
          <w:lang w:val="fr-FR"/>
        </w:rPr>
      </w:pPr>
    </w:p>
    <w:p w14:paraId="2F2298A0" w14:textId="77777777" w:rsidR="00673A70" w:rsidRPr="0084523A" w:rsidRDefault="00673A70" w:rsidP="00673A70">
      <w:pPr>
        <w:overflowPunct w:val="0"/>
        <w:autoSpaceDE w:val="0"/>
        <w:autoSpaceDN w:val="0"/>
        <w:adjustRightInd w:val="0"/>
        <w:textAlignment w:val="baseline"/>
        <w:rPr>
          <w:rFonts w:asciiTheme="minorHAnsi" w:eastAsia="Times New Roman" w:hAnsiTheme="minorHAnsi" w:cstheme="minorHAnsi"/>
          <w:b/>
          <w:sz w:val="20"/>
          <w:szCs w:val="20"/>
          <w:lang w:val="fr-FR"/>
        </w:rPr>
      </w:pPr>
    </w:p>
    <w:p w14:paraId="275F9AF2" w14:textId="22E0097D" w:rsidR="009A332E" w:rsidRDefault="009A332E" w:rsidP="00565F50">
      <w:pPr>
        <w:jc w:val="both"/>
        <w:rPr>
          <w:rFonts w:asciiTheme="minorHAnsi" w:eastAsia="Times New Roman" w:hAnsiTheme="minorHAnsi" w:cstheme="minorHAnsi"/>
          <w:b/>
          <w:bCs/>
          <w:color w:val="2D2D2D"/>
          <w:sz w:val="20"/>
          <w:szCs w:val="20"/>
          <w:lang w:eastAsia="en-GB"/>
        </w:rPr>
      </w:pPr>
      <w:r>
        <w:rPr>
          <w:rFonts w:asciiTheme="minorHAnsi" w:eastAsia="Times New Roman" w:hAnsiTheme="minorHAnsi" w:cstheme="minorHAnsi"/>
          <w:b/>
          <w:bCs/>
          <w:color w:val="2D2D2D"/>
          <w:sz w:val="20"/>
          <w:szCs w:val="20"/>
          <w:lang w:eastAsia="en-GB"/>
        </w:rPr>
        <w:t>About JP Morgan Healthcare Conference</w:t>
      </w:r>
    </w:p>
    <w:p w14:paraId="39B9AC70" w14:textId="77777777" w:rsidR="000B5267" w:rsidRDefault="000B5267" w:rsidP="00565F50">
      <w:pPr>
        <w:jc w:val="both"/>
        <w:rPr>
          <w:rFonts w:asciiTheme="minorHAnsi" w:eastAsia="Times New Roman" w:hAnsiTheme="minorHAnsi" w:cstheme="minorHAnsi"/>
          <w:b/>
          <w:bCs/>
          <w:color w:val="2D2D2D"/>
          <w:sz w:val="20"/>
          <w:szCs w:val="20"/>
          <w:lang w:eastAsia="en-GB"/>
        </w:rPr>
      </w:pPr>
    </w:p>
    <w:p w14:paraId="14957FA6" w14:textId="5B6F0B98" w:rsidR="000B5267" w:rsidRPr="000B5267" w:rsidRDefault="000B5267" w:rsidP="00565F50">
      <w:pPr>
        <w:jc w:val="both"/>
        <w:rPr>
          <w:rFonts w:eastAsia="Times New Roman" w:cs="Calibri"/>
          <w:b/>
          <w:bCs/>
          <w:color w:val="2D2D2D"/>
          <w:sz w:val="20"/>
          <w:szCs w:val="20"/>
          <w:lang w:eastAsia="en-GB"/>
        </w:rPr>
      </w:pPr>
      <w:r w:rsidRPr="000B5267">
        <w:rPr>
          <w:rFonts w:cs="Calibri"/>
          <w:spacing w:val="1"/>
          <w:sz w:val="20"/>
          <w:szCs w:val="20"/>
        </w:rPr>
        <w:t>The J.P. Morgan Healthcare Conference 2026 is the industry's premier investment symposium</w:t>
      </w:r>
      <w:r>
        <w:rPr>
          <w:rFonts w:cs="Calibri"/>
          <w:spacing w:val="1"/>
          <w:sz w:val="20"/>
          <w:szCs w:val="20"/>
        </w:rPr>
        <w:t>.</w:t>
      </w:r>
      <w:r w:rsidRPr="000B5267">
        <w:rPr>
          <w:rFonts w:cs="Calibri"/>
          <w:spacing w:val="1"/>
          <w:sz w:val="20"/>
          <w:szCs w:val="20"/>
        </w:rPr>
        <w:t xml:space="preserve"> It draws over 8,000 attendees including pharma/biotech executives, investors, startups, analysts, and policymakers for strategic discussions and dealmaking.</w:t>
      </w:r>
    </w:p>
    <w:p w14:paraId="1190255E" w14:textId="77777777" w:rsidR="009A332E" w:rsidRDefault="009A332E" w:rsidP="00565F50">
      <w:pPr>
        <w:jc w:val="both"/>
        <w:rPr>
          <w:rFonts w:asciiTheme="minorHAnsi" w:eastAsia="Times New Roman" w:hAnsiTheme="minorHAnsi" w:cstheme="minorHAnsi"/>
          <w:b/>
          <w:bCs/>
          <w:color w:val="2D2D2D"/>
          <w:sz w:val="20"/>
          <w:szCs w:val="20"/>
          <w:lang w:eastAsia="en-GB"/>
        </w:rPr>
      </w:pPr>
    </w:p>
    <w:p w14:paraId="5D460A04" w14:textId="3056EB5D" w:rsidR="00277400" w:rsidRDefault="00637E38" w:rsidP="00565F50">
      <w:pPr>
        <w:jc w:val="both"/>
        <w:rPr>
          <w:rFonts w:asciiTheme="minorHAnsi" w:eastAsia="Times New Roman" w:hAnsiTheme="minorHAnsi" w:cstheme="minorHAnsi"/>
          <w:b/>
          <w:bCs/>
          <w:color w:val="2D2D2D"/>
          <w:sz w:val="20"/>
          <w:szCs w:val="20"/>
          <w:lang w:eastAsia="en-GB"/>
        </w:rPr>
      </w:pPr>
      <w:r w:rsidRPr="005D5EEF">
        <w:rPr>
          <w:rFonts w:asciiTheme="minorHAnsi" w:eastAsia="Times New Roman" w:hAnsiTheme="minorHAnsi" w:cstheme="minorHAnsi"/>
          <w:b/>
          <w:bCs/>
          <w:color w:val="2D2D2D"/>
          <w:sz w:val="20"/>
          <w:szCs w:val="20"/>
          <w:lang w:eastAsia="en-GB"/>
        </w:rPr>
        <w:t>About Biotech Showcase</w:t>
      </w:r>
    </w:p>
    <w:p w14:paraId="760F5FA4" w14:textId="77777777" w:rsidR="00441B5A" w:rsidRPr="005D5EEF" w:rsidRDefault="00441B5A" w:rsidP="00565F50">
      <w:pPr>
        <w:jc w:val="both"/>
        <w:rPr>
          <w:rFonts w:asciiTheme="minorHAnsi" w:eastAsia="Times New Roman" w:hAnsiTheme="minorHAnsi" w:cstheme="minorHAnsi"/>
          <w:b/>
          <w:bCs/>
          <w:color w:val="2D2D2D"/>
          <w:sz w:val="20"/>
          <w:szCs w:val="20"/>
          <w:lang w:eastAsia="en-GB"/>
        </w:rPr>
      </w:pPr>
    </w:p>
    <w:p w14:paraId="6DB43706" w14:textId="10C2A347" w:rsidR="000F4492" w:rsidRPr="00441B5A" w:rsidRDefault="00441B5A" w:rsidP="00565F50">
      <w:pPr>
        <w:jc w:val="both"/>
        <w:rPr>
          <w:rFonts w:asciiTheme="minorHAnsi" w:eastAsia="Times New Roman" w:hAnsiTheme="minorHAnsi" w:cstheme="minorHAnsi"/>
          <w:color w:val="2D2D2D"/>
          <w:sz w:val="20"/>
          <w:szCs w:val="20"/>
          <w:lang w:eastAsia="en-GB"/>
        </w:rPr>
      </w:pPr>
      <w:r w:rsidRPr="00441B5A">
        <w:rPr>
          <w:rFonts w:asciiTheme="minorHAnsi" w:eastAsia="Times New Roman" w:hAnsiTheme="minorHAnsi" w:cstheme="minorHAnsi"/>
          <w:color w:val="2D2D2D"/>
          <w:sz w:val="20"/>
          <w:szCs w:val="20"/>
          <w:lang w:eastAsia="en-GB"/>
        </w:rPr>
        <w:t>Biotech Showcase in San Francisco is an investor</w:t>
      </w:r>
      <w:r w:rsidRPr="00441B5A">
        <w:rPr>
          <w:rFonts w:ascii="Cambria Math" w:eastAsia="Times New Roman" w:hAnsi="Cambria Math" w:cs="Cambria Math"/>
          <w:color w:val="2D2D2D"/>
          <w:sz w:val="20"/>
          <w:szCs w:val="20"/>
          <w:lang w:eastAsia="en-GB"/>
        </w:rPr>
        <w:t>‑</w:t>
      </w:r>
      <w:r w:rsidRPr="00441B5A">
        <w:rPr>
          <w:rFonts w:asciiTheme="minorHAnsi" w:eastAsia="Times New Roman" w:hAnsiTheme="minorHAnsi" w:cstheme="minorHAnsi"/>
          <w:color w:val="2D2D2D"/>
          <w:sz w:val="20"/>
          <w:szCs w:val="20"/>
          <w:lang w:eastAsia="en-GB"/>
        </w:rPr>
        <w:t>focused partnering conference held each January alongside JP</w:t>
      </w:r>
      <w:r w:rsidR="009A332E">
        <w:rPr>
          <w:rFonts w:asciiTheme="minorHAnsi" w:eastAsia="Times New Roman" w:hAnsiTheme="minorHAnsi" w:cstheme="minorHAnsi"/>
          <w:color w:val="2D2D2D"/>
          <w:sz w:val="20"/>
          <w:szCs w:val="20"/>
          <w:lang w:eastAsia="en-GB"/>
        </w:rPr>
        <w:t xml:space="preserve"> </w:t>
      </w:r>
      <w:r w:rsidRPr="00441B5A">
        <w:rPr>
          <w:rFonts w:asciiTheme="minorHAnsi" w:eastAsia="Times New Roman" w:hAnsiTheme="minorHAnsi" w:cstheme="minorHAnsi"/>
          <w:color w:val="2D2D2D"/>
          <w:sz w:val="20"/>
          <w:szCs w:val="20"/>
          <w:lang w:eastAsia="en-GB"/>
        </w:rPr>
        <w:t>Morgan Healthcare Conference week. It is designed mainly for private and micro</w:t>
      </w:r>
      <w:r w:rsidRPr="00441B5A">
        <w:rPr>
          <w:rFonts w:ascii="Cambria Math" w:eastAsia="Times New Roman" w:hAnsi="Cambria Math" w:cs="Cambria Math"/>
          <w:color w:val="2D2D2D"/>
          <w:sz w:val="20"/>
          <w:szCs w:val="20"/>
          <w:lang w:eastAsia="en-GB"/>
        </w:rPr>
        <w:t>‑</w:t>
      </w:r>
      <w:r w:rsidRPr="00441B5A">
        <w:rPr>
          <w:rFonts w:asciiTheme="minorHAnsi" w:eastAsia="Times New Roman" w:hAnsiTheme="minorHAnsi" w:cstheme="minorHAnsi"/>
          <w:color w:val="2D2D2D"/>
          <w:sz w:val="20"/>
          <w:szCs w:val="20"/>
          <w:lang w:eastAsia="en-GB"/>
        </w:rPr>
        <w:t xml:space="preserve"> to mid</w:t>
      </w:r>
      <w:r w:rsidRPr="00441B5A">
        <w:rPr>
          <w:rFonts w:ascii="Cambria Math" w:eastAsia="Times New Roman" w:hAnsi="Cambria Math" w:cs="Cambria Math"/>
          <w:color w:val="2D2D2D"/>
          <w:sz w:val="20"/>
          <w:szCs w:val="20"/>
          <w:lang w:eastAsia="en-GB"/>
        </w:rPr>
        <w:t>‑</w:t>
      </w:r>
      <w:r w:rsidRPr="00441B5A">
        <w:rPr>
          <w:rFonts w:asciiTheme="minorHAnsi" w:eastAsia="Times New Roman" w:hAnsiTheme="minorHAnsi" w:cstheme="minorHAnsi"/>
          <w:color w:val="2D2D2D"/>
          <w:sz w:val="20"/>
          <w:szCs w:val="20"/>
          <w:lang w:eastAsia="en-GB"/>
        </w:rPr>
        <w:t>cap biotech companies to meet global investors and pharma executives.</w:t>
      </w:r>
    </w:p>
    <w:p w14:paraId="7CB94A26" w14:textId="77777777" w:rsidR="00277400" w:rsidRPr="005D5EEF" w:rsidRDefault="00277400" w:rsidP="00277400">
      <w:pPr>
        <w:rPr>
          <w:rFonts w:asciiTheme="minorHAnsi" w:eastAsia="Times New Roman" w:hAnsiTheme="minorHAnsi" w:cstheme="minorHAnsi"/>
          <w:b/>
          <w:bCs/>
          <w:color w:val="2D2D2D"/>
          <w:sz w:val="20"/>
          <w:szCs w:val="20"/>
          <w:lang w:eastAsia="en-GB"/>
        </w:rPr>
      </w:pPr>
    </w:p>
    <w:p w14:paraId="51CBCCDA" w14:textId="5F0D76FA" w:rsidR="0017452C" w:rsidRPr="005D5EEF" w:rsidRDefault="00F83224" w:rsidP="0017452C">
      <w:pPr>
        <w:pStyle w:val="mv"/>
        <w:spacing w:before="0" w:beforeAutospacing="0" w:after="270" w:afterAutospacing="0"/>
        <w:rPr>
          <w:rFonts w:asciiTheme="minorHAnsi" w:hAnsiTheme="minorHAnsi" w:cstheme="minorHAnsi"/>
          <w:b/>
          <w:color w:val="2D2D2D"/>
          <w:sz w:val="20"/>
          <w:szCs w:val="20"/>
        </w:rPr>
      </w:pPr>
      <w:r w:rsidRPr="005D5EEF">
        <w:rPr>
          <w:rFonts w:asciiTheme="minorHAnsi" w:hAnsiTheme="minorHAnsi" w:cstheme="minorHAnsi"/>
          <w:b/>
          <w:color w:val="2D2D2D"/>
          <w:sz w:val="20"/>
          <w:szCs w:val="20"/>
        </w:rPr>
        <w:t>About Reach a</w:t>
      </w:r>
      <w:r w:rsidR="0017452C" w:rsidRPr="005D5EEF">
        <w:rPr>
          <w:rFonts w:asciiTheme="minorHAnsi" w:hAnsiTheme="minorHAnsi" w:cstheme="minorHAnsi"/>
          <w:b/>
          <w:color w:val="2D2D2D"/>
          <w:sz w:val="20"/>
          <w:szCs w:val="20"/>
        </w:rPr>
        <w:t>nnouncements</w:t>
      </w:r>
    </w:p>
    <w:p w14:paraId="127EA1D3" w14:textId="77777777" w:rsidR="0017452C" w:rsidRPr="005D5EEF" w:rsidRDefault="0017452C" w:rsidP="0017452C">
      <w:pPr>
        <w:pStyle w:val="mx"/>
        <w:spacing w:before="0" w:beforeAutospacing="0" w:after="270" w:afterAutospacing="0"/>
        <w:jc w:val="both"/>
        <w:rPr>
          <w:rFonts w:asciiTheme="minorHAnsi" w:hAnsiTheme="minorHAnsi" w:cstheme="minorHAnsi"/>
          <w:color w:val="2D2D2D"/>
          <w:sz w:val="20"/>
          <w:szCs w:val="20"/>
        </w:rPr>
      </w:pPr>
      <w:r w:rsidRPr="005D5EEF">
        <w:rPr>
          <w:rFonts w:asciiTheme="minorHAnsi" w:hAnsiTheme="minorHAnsi" w:cstheme="minorHAnsi"/>
          <w:color w:val="2D2D2D"/>
          <w:sz w:val="20"/>
          <w:szCs w:val="20"/>
        </w:rPr>
        <w:t>Reach is an investor communication service aimed at assisting listed and unlisted (including AIM quoted) companies to distribute media only / non-regulatory news releases such as marketing messages, corporate and product information into the public domain. An RNS Regulatory announcement is required to be notified under the AIM Rules for Companies.</w:t>
      </w:r>
    </w:p>
    <w:p w14:paraId="6B5E94C1" w14:textId="77777777" w:rsidR="00FB2FEC" w:rsidRPr="005D5EEF" w:rsidRDefault="00FB2FEC" w:rsidP="00673A70">
      <w:pPr>
        <w:rPr>
          <w:rFonts w:asciiTheme="minorHAnsi" w:eastAsia="Times New Roman" w:hAnsiTheme="minorHAnsi" w:cstheme="minorHAnsi"/>
          <w:color w:val="2D2D2D"/>
          <w:sz w:val="20"/>
          <w:szCs w:val="20"/>
          <w:lang w:eastAsia="en-GB"/>
        </w:rPr>
      </w:pPr>
    </w:p>
    <w:sectPr w:rsidR="00FB2FEC" w:rsidRPr="005D5EEF" w:rsidSect="00911A5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4DDD"/>
    <w:multiLevelType w:val="multilevel"/>
    <w:tmpl w:val="BD7E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932AC"/>
    <w:multiLevelType w:val="hybridMultilevel"/>
    <w:tmpl w:val="50A6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F5A7C"/>
    <w:multiLevelType w:val="hybridMultilevel"/>
    <w:tmpl w:val="A0F8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82619"/>
    <w:multiLevelType w:val="hybridMultilevel"/>
    <w:tmpl w:val="925C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77029"/>
    <w:multiLevelType w:val="hybridMultilevel"/>
    <w:tmpl w:val="487C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75919"/>
    <w:multiLevelType w:val="multilevel"/>
    <w:tmpl w:val="A77A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D2B17"/>
    <w:multiLevelType w:val="multilevel"/>
    <w:tmpl w:val="9656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B147F"/>
    <w:multiLevelType w:val="hybridMultilevel"/>
    <w:tmpl w:val="4AC4D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C2D13"/>
    <w:multiLevelType w:val="multilevel"/>
    <w:tmpl w:val="F106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E40E2"/>
    <w:multiLevelType w:val="hybridMultilevel"/>
    <w:tmpl w:val="00E0CD34"/>
    <w:lvl w:ilvl="0" w:tplc="1CCE7A16">
      <w:start w:val="1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EB61B5"/>
    <w:multiLevelType w:val="hybridMultilevel"/>
    <w:tmpl w:val="7E08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090580">
    <w:abstractNumId w:val="0"/>
  </w:num>
  <w:num w:numId="2" w16cid:durableId="280235708">
    <w:abstractNumId w:val="5"/>
  </w:num>
  <w:num w:numId="3" w16cid:durableId="1997033195">
    <w:abstractNumId w:val="8"/>
  </w:num>
  <w:num w:numId="4" w16cid:durableId="58865877">
    <w:abstractNumId w:val="6"/>
  </w:num>
  <w:num w:numId="5" w16cid:durableId="851650938">
    <w:abstractNumId w:val="10"/>
  </w:num>
  <w:num w:numId="6" w16cid:durableId="622805675">
    <w:abstractNumId w:val="3"/>
  </w:num>
  <w:num w:numId="7" w16cid:durableId="26100052">
    <w:abstractNumId w:val="4"/>
  </w:num>
  <w:num w:numId="8" w16cid:durableId="2113159638">
    <w:abstractNumId w:val="1"/>
  </w:num>
  <w:num w:numId="9" w16cid:durableId="610630621">
    <w:abstractNumId w:val="2"/>
  </w:num>
  <w:num w:numId="10" w16cid:durableId="1424493218">
    <w:abstractNumId w:val="7"/>
  </w:num>
  <w:num w:numId="11" w16cid:durableId="1227961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D72"/>
    <w:rsid w:val="000045B2"/>
    <w:rsid w:val="00011E32"/>
    <w:rsid w:val="00024F59"/>
    <w:rsid w:val="000433A1"/>
    <w:rsid w:val="0006440A"/>
    <w:rsid w:val="000833AE"/>
    <w:rsid w:val="00093C78"/>
    <w:rsid w:val="000944E9"/>
    <w:rsid w:val="000B5267"/>
    <w:rsid w:val="000C15C4"/>
    <w:rsid w:val="000D0BF1"/>
    <w:rsid w:val="000D2AB7"/>
    <w:rsid w:val="000D5232"/>
    <w:rsid w:val="000F4492"/>
    <w:rsid w:val="00101604"/>
    <w:rsid w:val="00106737"/>
    <w:rsid w:val="00111808"/>
    <w:rsid w:val="001151E5"/>
    <w:rsid w:val="00123AF0"/>
    <w:rsid w:val="00131291"/>
    <w:rsid w:val="00140063"/>
    <w:rsid w:val="00151B4A"/>
    <w:rsid w:val="00153E42"/>
    <w:rsid w:val="0016711D"/>
    <w:rsid w:val="0017452C"/>
    <w:rsid w:val="001807CA"/>
    <w:rsid w:val="00187F82"/>
    <w:rsid w:val="001B4D74"/>
    <w:rsid w:val="001F4172"/>
    <w:rsid w:val="002342B8"/>
    <w:rsid w:val="00237BC0"/>
    <w:rsid w:val="00240E39"/>
    <w:rsid w:val="00251AE0"/>
    <w:rsid w:val="002553C4"/>
    <w:rsid w:val="00263AF2"/>
    <w:rsid w:val="00277400"/>
    <w:rsid w:val="002933AF"/>
    <w:rsid w:val="002B0D72"/>
    <w:rsid w:val="002B1520"/>
    <w:rsid w:val="002C7423"/>
    <w:rsid w:val="002E1E20"/>
    <w:rsid w:val="002E4C74"/>
    <w:rsid w:val="002F16FA"/>
    <w:rsid w:val="002F1710"/>
    <w:rsid w:val="002F59C8"/>
    <w:rsid w:val="00302E61"/>
    <w:rsid w:val="00307363"/>
    <w:rsid w:val="00307B06"/>
    <w:rsid w:val="0031385C"/>
    <w:rsid w:val="00320E09"/>
    <w:rsid w:val="00327C30"/>
    <w:rsid w:val="003309A8"/>
    <w:rsid w:val="00330F0D"/>
    <w:rsid w:val="00350EA7"/>
    <w:rsid w:val="0038672E"/>
    <w:rsid w:val="00397D50"/>
    <w:rsid w:val="003A1A1F"/>
    <w:rsid w:val="003A2059"/>
    <w:rsid w:val="003A4AA5"/>
    <w:rsid w:val="003B295C"/>
    <w:rsid w:val="003C2430"/>
    <w:rsid w:val="003D2961"/>
    <w:rsid w:val="003E5443"/>
    <w:rsid w:val="003F66D0"/>
    <w:rsid w:val="004227EA"/>
    <w:rsid w:val="00424275"/>
    <w:rsid w:val="004401F6"/>
    <w:rsid w:val="00441B5A"/>
    <w:rsid w:val="00442869"/>
    <w:rsid w:val="004760A7"/>
    <w:rsid w:val="004805C9"/>
    <w:rsid w:val="004830A8"/>
    <w:rsid w:val="004842EB"/>
    <w:rsid w:val="00493AD2"/>
    <w:rsid w:val="0049706F"/>
    <w:rsid w:val="004A41F3"/>
    <w:rsid w:val="004B447F"/>
    <w:rsid w:val="004E6400"/>
    <w:rsid w:val="005169FD"/>
    <w:rsid w:val="00522EE1"/>
    <w:rsid w:val="00533E6A"/>
    <w:rsid w:val="00551239"/>
    <w:rsid w:val="00552FDD"/>
    <w:rsid w:val="005637A9"/>
    <w:rsid w:val="005658CE"/>
    <w:rsid w:val="00565F50"/>
    <w:rsid w:val="00573A3C"/>
    <w:rsid w:val="00575C10"/>
    <w:rsid w:val="0057636E"/>
    <w:rsid w:val="00587578"/>
    <w:rsid w:val="00591F7D"/>
    <w:rsid w:val="005979FA"/>
    <w:rsid w:val="005B35DA"/>
    <w:rsid w:val="005D5EEF"/>
    <w:rsid w:val="006228A9"/>
    <w:rsid w:val="00637E38"/>
    <w:rsid w:val="006403F6"/>
    <w:rsid w:val="00653DC5"/>
    <w:rsid w:val="006546F5"/>
    <w:rsid w:val="00673A70"/>
    <w:rsid w:val="00674346"/>
    <w:rsid w:val="0067477C"/>
    <w:rsid w:val="006871CE"/>
    <w:rsid w:val="006910CE"/>
    <w:rsid w:val="006B44AF"/>
    <w:rsid w:val="006C2FB1"/>
    <w:rsid w:val="006C4DE0"/>
    <w:rsid w:val="006D1E4A"/>
    <w:rsid w:val="006F01ED"/>
    <w:rsid w:val="00700558"/>
    <w:rsid w:val="00730394"/>
    <w:rsid w:val="00741534"/>
    <w:rsid w:val="00743964"/>
    <w:rsid w:val="00767715"/>
    <w:rsid w:val="007706A8"/>
    <w:rsid w:val="00771D13"/>
    <w:rsid w:val="00777909"/>
    <w:rsid w:val="0078276F"/>
    <w:rsid w:val="00787060"/>
    <w:rsid w:val="007B5662"/>
    <w:rsid w:val="007B571D"/>
    <w:rsid w:val="007C2750"/>
    <w:rsid w:val="007C391B"/>
    <w:rsid w:val="007C4B14"/>
    <w:rsid w:val="007E49B0"/>
    <w:rsid w:val="00810ED1"/>
    <w:rsid w:val="00813E84"/>
    <w:rsid w:val="00826E15"/>
    <w:rsid w:val="008364DF"/>
    <w:rsid w:val="0084523A"/>
    <w:rsid w:val="00845457"/>
    <w:rsid w:val="00847286"/>
    <w:rsid w:val="00851B0E"/>
    <w:rsid w:val="00864ED9"/>
    <w:rsid w:val="00891751"/>
    <w:rsid w:val="008B4ECF"/>
    <w:rsid w:val="008D6598"/>
    <w:rsid w:val="00911A58"/>
    <w:rsid w:val="009316A0"/>
    <w:rsid w:val="009316C6"/>
    <w:rsid w:val="009707B8"/>
    <w:rsid w:val="009A2F41"/>
    <w:rsid w:val="009A332E"/>
    <w:rsid w:val="009C5A7F"/>
    <w:rsid w:val="009C5EAA"/>
    <w:rsid w:val="009E386F"/>
    <w:rsid w:val="00A14AE2"/>
    <w:rsid w:val="00A347C4"/>
    <w:rsid w:val="00A4323A"/>
    <w:rsid w:val="00A43BAD"/>
    <w:rsid w:val="00A4566D"/>
    <w:rsid w:val="00A61BCB"/>
    <w:rsid w:val="00A64EB0"/>
    <w:rsid w:val="00A7523B"/>
    <w:rsid w:val="00A938CA"/>
    <w:rsid w:val="00A97D70"/>
    <w:rsid w:val="00AA4CCB"/>
    <w:rsid w:val="00AB0F09"/>
    <w:rsid w:val="00AF7551"/>
    <w:rsid w:val="00B01C8E"/>
    <w:rsid w:val="00B1642B"/>
    <w:rsid w:val="00B246FD"/>
    <w:rsid w:val="00B25D49"/>
    <w:rsid w:val="00B42CB7"/>
    <w:rsid w:val="00B56776"/>
    <w:rsid w:val="00B6057C"/>
    <w:rsid w:val="00B9653C"/>
    <w:rsid w:val="00BA286E"/>
    <w:rsid w:val="00BB6FE8"/>
    <w:rsid w:val="00BD303F"/>
    <w:rsid w:val="00BD6D0A"/>
    <w:rsid w:val="00BF1ABA"/>
    <w:rsid w:val="00C05470"/>
    <w:rsid w:val="00C13AB9"/>
    <w:rsid w:val="00C13E6D"/>
    <w:rsid w:val="00C34192"/>
    <w:rsid w:val="00C42787"/>
    <w:rsid w:val="00C55512"/>
    <w:rsid w:val="00C56AE4"/>
    <w:rsid w:val="00C61060"/>
    <w:rsid w:val="00C70872"/>
    <w:rsid w:val="00C9433E"/>
    <w:rsid w:val="00CA107F"/>
    <w:rsid w:val="00CB1C5A"/>
    <w:rsid w:val="00CB1FBB"/>
    <w:rsid w:val="00CB2F2A"/>
    <w:rsid w:val="00CE4725"/>
    <w:rsid w:val="00CF2AFC"/>
    <w:rsid w:val="00CF307B"/>
    <w:rsid w:val="00CF319C"/>
    <w:rsid w:val="00D03350"/>
    <w:rsid w:val="00D12455"/>
    <w:rsid w:val="00D147C8"/>
    <w:rsid w:val="00D25A25"/>
    <w:rsid w:val="00D33289"/>
    <w:rsid w:val="00D33F8A"/>
    <w:rsid w:val="00D51BA8"/>
    <w:rsid w:val="00D64A9F"/>
    <w:rsid w:val="00D85FB9"/>
    <w:rsid w:val="00DA4100"/>
    <w:rsid w:val="00DA7978"/>
    <w:rsid w:val="00DC6606"/>
    <w:rsid w:val="00DE6417"/>
    <w:rsid w:val="00DF2308"/>
    <w:rsid w:val="00E03459"/>
    <w:rsid w:val="00E06AAD"/>
    <w:rsid w:val="00E26CAE"/>
    <w:rsid w:val="00E503AE"/>
    <w:rsid w:val="00E56BD1"/>
    <w:rsid w:val="00E64B13"/>
    <w:rsid w:val="00E6769D"/>
    <w:rsid w:val="00E904C6"/>
    <w:rsid w:val="00E916DD"/>
    <w:rsid w:val="00EA5B92"/>
    <w:rsid w:val="00ED1D1A"/>
    <w:rsid w:val="00EF7654"/>
    <w:rsid w:val="00F004B0"/>
    <w:rsid w:val="00F00553"/>
    <w:rsid w:val="00F10790"/>
    <w:rsid w:val="00F669AF"/>
    <w:rsid w:val="00F70CFA"/>
    <w:rsid w:val="00F83224"/>
    <w:rsid w:val="00FB2FEC"/>
    <w:rsid w:val="00FB71AF"/>
    <w:rsid w:val="00FC0EB1"/>
    <w:rsid w:val="00FF4ACE"/>
    <w:rsid w:val="00FF7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3F4C"/>
  <w15:chartTrackingRefBased/>
  <w15:docId w15:val="{7FC90658-616E-4AF0-8AFB-23591E78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7C4B1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27740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2B0D72"/>
    <w:pPr>
      <w:spacing w:before="100" w:beforeAutospacing="1" w:after="100" w:afterAutospacing="1"/>
      <w:outlineLvl w:val="3"/>
    </w:pPr>
    <w:rPr>
      <w:rFonts w:ascii="Times New Roman" w:eastAsia="Times New Roman" w:hAnsi="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2B0D72"/>
    <w:rPr>
      <w:rFonts w:ascii="Times New Roman" w:eastAsia="Times New Roman" w:hAnsi="Times New Roman" w:cs="Times New Roman"/>
      <w:b/>
      <w:bCs/>
      <w:lang w:eastAsia="en-GB"/>
    </w:rPr>
  </w:style>
  <w:style w:type="character" w:customStyle="1" w:styleId="Date1">
    <w:name w:val="Date1"/>
    <w:basedOn w:val="DefaultParagraphFont"/>
    <w:rsid w:val="002B0D72"/>
  </w:style>
  <w:style w:type="paragraph" w:customStyle="1" w:styleId="p2">
    <w:name w:val="p2"/>
    <w:basedOn w:val="Normal"/>
    <w:rsid w:val="002B0D72"/>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2B0D72"/>
  </w:style>
  <w:style w:type="paragraph" w:customStyle="1" w:styleId="p3">
    <w:name w:val="p3"/>
    <w:basedOn w:val="Normal"/>
    <w:rsid w:val="002B0D72"/>
    <w:pPr>
      <w:spacing w:before="100" w:beforeAutospacing="1" w:after="100" w:afterAutospacing="1"/>
    </w:pPr>
    <w:rPr>
      <w:rFonts w:ascii="Times New Roman" w:eastAsia="Times New Roman" w:hAnsi="Times New Roman"/>
      <w:lang w:eastAsia="en-GB"/>
    </w:rPr>
  </w:style>
  <w:style w:type="character" w:customStyle="1" w:styleId="s2">
    <w:name w:val="s2"/>
    <w:basedOn w:val="DefaultParagraphFont"/>
    <w:rsid w:val="002B0D72"/>
  </w:style>
  <w:style w:type="paragraph" w:styleId="NormalWeb">
    <w:name w:val="Normal (Web)"/>
    <w:basedOn w:val="Normal"/>
    <w:uiPriority w:val="99"/>
    <w:semiHidden/>
    <w:unhideWhenUsed/>
    <w:rsid w:val="002B0D72"/>
    <w:pPr>
      <w:spacing w:before="100" w:beforeAutospacing="1" w:after="100" w:afterAutospacing="1"/>
    </w:pPr>
    <w:rPr>
      <w:rFonts w:ascii="Times New Roman" w:eastAsia="Times New Roman" w:hAnsi="Times New Roman"/>
      <w:lang w:eastAsia="en-GB"/>
    </w:rPr>
  </w:style>
  <w:style w:type="paragraph" w:customStyle="1" w:styleId="p1">
    <w:name w:val="p1"/>
    <w:basedOn w:val="Normal"/>
    <w:rsid w:val="002B0D72"/>
    <w:pPr>
      <w:spacing w:before="100" w:beforeAutospacing="1" w:after="100" w:afterAutospacing="1"/>
    </w:pPr>
    <w:rPr>
      <w:rFonts w:ascii="Times New Roman" w:eastAsia="Times New Roman" w:hAnsi="Times New Roman"/>
      <w:lang w:eastAsia="en-GB"/>
    </w:rPr>
  </w:style>
  <w:style w:type="character" w:customStyle="1" w:styleId="s1">
    <w:name w:val="s1"/>
    <w:basedOn w:val="DefaultParagraphFont"/>
    <w:rsid w:val="002B0D72"/>
  </w:style>
  <w:style w:type="character" w:styleId="Hyperlink">
    <w:name w:val="Hyperlink"/>
    <w:uiPriority w:val="99"/>
    <w:unhideWhenUsed/>
    <w:rsid w:val="00A97D70"/>
    <w:rPr>
      <w:color w:val="0563C1"/>
      <w:u w:val="single"/>
    </w:rPr>
  </w:style>
  <w:style w:type="character" w:customStyle="1" w:styleId="UnresolvedMention1">
    <w:name w:val="Unresolved Mention1"/>
    <w:uiPriority w:val="99"/>
    <w:semiHidden/>
    <w:unhideWhenUsed/>
    <w:rsid w:val="00A97D70"/>
    <w:rPr>
      <w:color w:val="605E5C"/>
      <w:shd w:val="clear" w:color="auto" w:fill="E1DFDD"/>
    </w:rPr>
  </w:style>
  <w:style w:type="paragraph" w:styleId="BalloonText">
    <w:name w:val="Balloon Text"/>
    <w:basedOn w:val="Normal"/>
    <w:link w:val="BalloonTextChar"/>
    <w:uiPriority w:val="99"/>
    <w:semiHidden/>
    <w:unhideWhenUsed/>
    <w:rsid w:val="00DA7978"/>
    <w:rPr>
      <w:rFonts w:ascii="Times New Roman" w:hAnsi="Times New Roman"/>
      <w:sz w:val="18"/>
      <w:szCs w:val="18"/>
    </w:rPr>
  </w:style>
  <w:style w:type="character" w:customStyle="1" w:styleId="BalloonTextChar">
    <w:name w:val="Balloon Text Char"/>
    <w:link w:val="BalloonText"/>
    <w:uiPriority w:val="99"/>
    <w:semiHidden/>
    <w:rsid w:val="00DA7978"/>
    <w:rPr>
      <w:rFonts w:ascii="Times New Roman" w:hAnsi="Times New Roman" w:cs="Times New Roman"/>
      <w:sz w:val="18"/>
      <w:szCs w:val="18"/>
    </w:rPr>
  </w:style>
  <w:style w:type="paragraph" w:customStyle="1" w:styleId="Default">
    <w:name w:val="Default"/>
    <w:rsid w:val="00673A70"/>
    <w:pPr>
      <w:autoSpaceDE w:val="0"/>
      <w:autoSpaceDN w:val="0"/>
      <w:adjustRightInd w:val="0"/>
    </w:pPr>
    <w:rPr>
      <w:rFonts w:eastAsia="Times New Roman" w:cs="Calibri"/>
      <w:color w:val="000000"/>
      <w:sz w:val="24"/>
      <w:szCs w:val="24"/>
      <w:lang w:eastAsia="en-US"/>
    </w:rPr>
  </w:style>
  <w:style w:type="paragraph" w:styleId="ListParagraph">
    <w:name w:val="List Paragraph"/>
    <w:basedOn w:val="Normal"/>
    <w:uiPriority w:val="34"/>
    <w:qFormat/>
    <w:rsid w:val="00673A70"/>
    <w:pPr>
      <w:spacing w:after="160" w:line="259" w:lineRule="auto"/>
      <w:ind w:left="720"/>
      <w:contextualSpacing/>
    </w:pPr>
    <w:rPr>
      <w:sz w:val="22"/>
      <w:szCs w:val="22"/>
    </w:rPr>
  </w:style>
  <w:style w:type="character" w:styleId="CommentReference">
    <w:name w:val="annotation reference"/>
    <w:uiPriority w:val="99"/>
    <w:semiHidden/>
    <w:unhideWhenUsed/>
    <w:rsid w:val="001F4172"/>
    <w:rPr>
      <w:sz w:val="16"/>
      <w:szCs w:val="16"/>
    </w:rPr>
  </w:style>
  <w:style w:type="paragraph" w:styleId="CommentText">
    <w:name w:val="annotation text"/>
    <w:basedOn w:val="Normal"/>
    <w:link w:val="CommentTextChar"/>
    <w:uiPriority w:val="99"/>
    <w:unhideWhenUsed/>
    <w:rsid w:val="001F4172"/>
    <w:rPr>
      <w:sz w:val="20"/>
      <w:szCs w:val="20"/>
    </w:rPr>
  </w:style>
  <w:style w:type="character" w:customStyle="1" w:styleId="CommentTextChar">
    <w:name w:val="Comment Text Char"/>
    <w:link w:val="CommentText"/>
    <w:uiPriority w:val="99"/>
    <w:rsid w:val="001F4172"/>
    <w:rPr>
      <w:sz w:val="20"/>
      <w:szCs w:val="20"/>
    </w:rPr>
  </w:style>
  <w:style w:type="paragraph" w:styleId="CommentSubject">
    <w:name w:val="annotation subject"/>
    <w:basedOn w:val="CommentText"/>
    <w:next w:val="CommentText"/>
    <w:link w:val="CommentSubjectChar"/>
    <w:uiPriority w:val="99"/>
    <w:semiHidden/>
    <w:unhideWhenUsed/>
    <w:rsid w:val="001F4172"/>
    <w:rPr>
      <w:b/>
      <w:bCs/>
    </w:rPr>
  </w:style>
  <w:style w:type="character" w:customStyle="1" w:styleId="CommentSubjectChar">
    <w:name w:val="Comment Subject Char"/>
    <w:link w:val="CommentSubject"/>
    <w:uiPriority w:val="99"/>
    <w:semiHidden/>
    <w:rsid w:val="001F4172"/>
    <w:rPr>
      <w:b/>
      <w:bCs/>
      <w:sz w:val="20"/>
      <w:szCs w:val="20"/>
    </w:rPr>
  </w:style>
  <w:style w:type="character" w:customStyle="1" w:styleId="Heading2Char">
    <w:name w:val="Heading 2 Char"/>
    <w:link w:val="Heading2"/>
    <w:uiPriority w:val="9"/>
    <w:semiHidden/>
    <w:rsid w:val="007C4B14"/>
    <w:rPr>
      <w:rFonts w:ascii="Calibri Light" w:eastAsia="Times New Roman" w:hAnsi="Calibri Light" w:cs="Times New Roman"/>
      <w:b/>
      <w:bCs/>
      <w:i/>
      <w:iCs/>
      <w:sz w:val="28"/>
      <w:szCs w:val="28"/>
      <w:lang w:eastAsia="en-US"/>
    </w:rPr>
  </w:style>
  <w:style w:type="paragraph" w:styleId="Revision">
    <w:name w:val="Revision"/>
    <w:hidden/>
    <w:uiPriority w:val="99"/>
    <w:semiHidden/>
    <w:rsid w:val="00552FDD"/>
    <w:rPr>
      <w:sz w:val="24"/>
      <w:szCs w:val="24"/>
      <w:lang w:eastAsia="en-US"/>
    </w:rPr>
  </w:style>
  <w:style w:type="character" w:customStyle="1" w:styleId="Heading3Char">
    <w:name w:val="Heading 3 Char"/>
    <w:basedOn w:val="DefaultParagraphFont"/>
    <w:link w:val="Heading3"/>
    <w:uiPriority w:val="9"/>
    <w:semiHidden/>
    <w:rsid w:val="00277400"/>
    <w:rPr>
      <w:rFonts w:asciiTheme="majorHAnsi" w:eastAsiaTheme="majorEastAsia" w:hAnsiTheme="majorHAnsi" w:cstheme="majorBidi"/>
      <w:color w:val="1F4D78" w:themeColor="accent1" w:themeShade="7F"/>
      <w:sz w:val="24"/>
      <w:szCs w:val="24"/>
      <w:lang w:eastAsia="en-US"/>
    </w:rPr>
  </w:style>
  <w:style w:type="paragraph" w:customStyle="1" w:styleId="mv">
    <w:name w:val="mv"/>
    <w:basedOn w:val="Normal"/>
    <w:rsid w:val="0017452C"/>
    <w:pPr>
      <w:spacing w:before="100" w:beforeAutospacing="1" w:after="100" w:afterAutospacing="1"/>
    </w:pPr>
    <w:rPr>
      <w:rFonts w:ascii="Times New Roman" w:eastAsia="Times New Roman" w:hAnsi="Times New Roman"/>
      <w:lang w:eastAsia="en-GB"/>
    </w:rPr>
  </w:style>
  <w:style w:type="character" w:customStyle="1" w:styleId="mw">
    <w:name w:val="mw"/>
    <w:basedOn w:val="DefaultParagraphFont"/>
    <w:rsid w:val="0017452C"/>
  </w:style>
  <w:style w:type="paragraph" w:customStyle="1" w:styleId="mx">
    <w:name w:val="mx"/>
    <w:basedOn w:val="Normal"/>
    <w:rsid w:val="0017452C"/>
    <w:pPr>
      <w:spacing w:before="100" w:beforeAutospacing="1" w:after="100" w:afterAutospacing="1"/>
    </w:pPr>
    <w:rPr>
      <w:rFonts w:ascii="Times New Roman" w:eastAsia="Times New Roman" w:hAnsi="Times New Roman"/>
      <w:lang w:eastAsia="en-GB"/>
    </w:rPr>
  </w:style>
  <w:style w:type="character" w:customStyle="1" w:styleId="my">
    <w:name w:val="my"/>
    <w:basedOn w:val="DefaultParagraphFont"/>
    <w:rsid w:val="0017452C"/>
  </w:style>
  <w:style w:type="character" w:styleId="UnresolvedMention">
    <w:name w:val="Unresolved Mention"/>
    <w:basedOn w:val="DefaultParagraphFont"/>
    <w:uiPriority w:val="99"/>
    <w:semiHidden/>
    <w:unhideWhenUsed/>
    <w:rsid w:val="002F1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942">
      <w:bodyDiv w:val="1"/>
      <w:marLeft w:val="0"/>
      <w:marRight w:val="0"/>
      <w:marTop w:val="0"/>
      <w:marBottom w:val="0"/>
      <w:divBdr>
        <w:top w:val="none" w:sz="0" w:space="0" w:color="auto"/>
        <w:left w:val="none" w:sz="0" w:space="0" w:color="auto"/>
        <w:bottom w:val="none" w:sz="0" w:space="0" w:color="auto"/>
        <w:right w:val="none" w:sz="0" w:space="0" w:color="auto"/>
      </w:divBdr>
    </w:div>
    <w:div w:id="561672406">
      <w:bodyDiv w:val="1"/>
      <w:marLeft w:val="0"/>
      <w:marRight w:val="0"/>
      <w:marTop w:val="0"/>
      <w:marBottom w:val="0"/>
      <w:divBdr>
        <w:top w:val="none" w:sz="0" w:space="0" w:color="auto"/>
        <w:left w:val="none" w:sz="0" w:space="0" w:color="auto"/>
        <w:bottom w:val="none" w:sz="0" w:space="0" w:color="auto"/>
        <w:right w:val="none" w:sz="0" w:space="0" w:color="auto"/>
      </w:divBdr>
    </w:div>
    <w:div w:id="911701484">
      <w:bodyDiv w:val="1"/>
      <w:marLeft w:val="0"/>
      <w:marRight w:val="0"/>
      <w:marTop w:val="0"/>
      <w:marBottom w:val="0"/>
      <w:divBdr>
        <w:top w:val="none" w:sz="0" w:space="0" w:color="auto"/>
        <w:left w:val="none" w:sz="0" w:space="0" w:color="auto"/>
        <w:bottom w:val="none" w:sz="0" w:space="0" w:color="auto"/>
        <w:right w:val="none" w:sz="0" w:space="0" w:color="auto"/>
      </w:divBdr>
    </w:div>
    <w:div w:id="1079251946">
      <w:bodyDiv w:val="1"/>
      <w:marLeft w:val="0"/>
      <w:marRight w:val="0"/>
      <w:marTop w:val="0"/>
      <w:marBottom w:val="0"/>
      <w:divBdr>
        <w:top w:val="none" w:sz="0" w:space="0" w:color="auto"/>
        <w:left w:val="none" w:sz="0" w:space="0" w:color="auto"/>
        <w:bottom w:val="none" w:sz="0" w:space="0" w:color="auto"/>
        <w:right w:val="none" w:sz="0" w:space="0" w:color="auto"/>
      </w:divBdr>
    </w:div>
    <w:div w:id="1121806418">
      <w:bodyDiv w:val="1"/>
      <w:marLeft w:val="0"/>
      <w:marRight w:val="0"/>
      <w:marTop w:val="0"/>
      <w:marBottom w:val="0"/>
      <w:divBdr>
        <w:top w:val="none" w:sz="0" w:space="0" w:color="auto"/>
        <w:left w:val="none" w:sz="0" w:space="0" w:color="auto"/>
        <w:bottom w:val="none" w:sz="0" w:space="0" w:color="auto"/>
        <w:right w:val="none" w:sz="0" w:space="0" w:color="auto"/>
      </w:divBdr>
    </w:div>
    <w:div w:id="1602447359">
      <w:bodyDiv w:val="1"/>
      <w:marLeft w:val="0"/>
      <w:marRight w:val="0"/>
      <w:marTop w:val="0"/>
      <w:marBottom w:val="0"/>
      <w:divBdr>
        <w:top w:val="none" w:sz="0" w:space="0" w:color="auto"/>
        <w:left w:val="none" w:sz="0" w:space="0" w:color="auto"/>
        <w:bottom w:val="none" w:sz="0" w:space="0" w:color="auto"/>
        <w:right w:val="none" w:sz="0" w:space="0" w:color="auto"/>
      </w:divBdr>
    </w:div>
    <w:div w:id="16286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upharma.co.u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mupharma.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Links>
    <vt:vector size="24" baseType="variant">
      <vt:variant>
        <vt:i4>5046352</vt:i4>
      </vt:variant>
      <vt:variant>
        <vt:i4>9</vt:i4>
      </vt:variant>
      <vt:variant>
        <vt:i4>0</vt:i4>
      </vt:variant>
      <vt:variant>
        <vt:i4>5</vt:i4>
      </vt:variant>
      <vt:variant>
        <vt:lpwstr>https://www.avionrx.com/</vt:lpwstr>
      </vt:variant>
      <vt:variant>
        <vt:lpwstr/>
      </vt:variant>
      <vt:variant>
        <vt:i4>3997757</vt:i4>
      </vt:variant>
      <vt:variant>
        <vt:i4>6</vt:i4>
      </vt:variant>
      <vt:variant>
        <vt:i4>0</vt:i4>
      </vt:variant>
      <vt:variant>
        <vt:i4>5</vt:i4>
      </vt:variant>
      <vt:variant>
        <vt:lpwstr>http://www.immupharma.com/</vt:lpwstr>
      </vt:variant>
      <vt:variant>
        <vt:lpwstr/>
      </vt:variant>
      <vt:variant>
        <vt:i4>5308439</vt:i4>
      </vt:variant>
      <vt:variant>
        <vt:i4>3</vt:i4>
      </vt:variant>
      <vt:variant>
        <vt:i4>0</vt:i4>
      </vt:variant>
      <vt:variant>
        <vt:i4>5</vt:i4>
      </vt:variant>
      <vt:variant>
        <vt:lpwstr>tel:0113 370 8974</vt:lpwstr>
      </vt:variant>
      <vt:variant>
        <vt:lpwstr/>
      </vt:variant>
      <vt:variant>
        <vt:i4>3997757</vt:i4>
      </vt:variant>
      <vt:variant>
        <vt:i4>0</vt:i4>
      </vt:variant>
      <vt:variant>
        <vt:i4>0</vt:i4>
      </vt:variant>
      <vt:variant>
        <vt:i4>5</vt:i4>
      </vt:variant>
      <vt:variant>
        <vt:lpwstr>http://www.immupharma.com/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Franklin</dc:creator>
  <cp:keywords/>
  <dc:description/>
  <cp:lastModifiedBy>Lisa Baderoon</cp:lastModifiedBy>
  <cp:revision>18</cp:revision>
  <cp:lastPrinted>2019-11-21T11:58:00Z</cp:lastPrinted>
  <dcterms:created xsi:type="dcterms:W3CDTF">2025-12-16T10:35:00Z</dcterms:created>
  <dcterms:modified xsi:type="dcterms:W3CDTF">2025-12-16T10:55:00Z</dcterms:modified>
</cp:coreProperties>
</file>